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14B" w:rsidRDefault="00EC5A87" w:rsidP="00320F8D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914400" cy="1311966"/>
                <wp:effectExtent l="0" t="0" r="2413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11966"/>
                        </a:xfrm>
                        <a:prstGeom prst="rect">
                          <a:avLst/>
                        </a:prstGeom>
                        <a:solidFill>
                          <a:srgbClr val="B0BC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5E4" w:rsidRPr="00CB11EA" w:rsidRDefault="00DA4935" w:rsidP="00FF75E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11EA">
                              <w:rPr>
                                <w:b/>
                                <w:sz w:val="24"/>
                                <w:szCs w:val="24"/>
                              </w:rPr>
                              <w:t>STANDARDS OF EXCELLENCE SCORING KEY</w:t>
                            </w:r>
                          </w:p>
                          <w:p w:rsidR="00FF75E4" w:rsidRDefault="000D2EE2" w:rsidP="00EC5A8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11EA">
                              <w:rPr>
                                <w:b/>
                                <w:sz w:val="24"/>
                                <w:szCs w:val="24"/>
                              </w:rPr>
                              <w:t>Never/Not at All</w:t>
                            </w:r>
                          </w:p>
                          <w:p w:rsidR="00EC5A87" w:rsidRPr="00CB11EA" w:rsidRDefault="00EC5A87" w:rsidP="00EC5A8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Rarely/ Occasionally</w:t>
                            </w:r>
                          </w:p>
                          <w:p w:rsidR="00FF75E4" w:rsidRDefault="00EC5A87" w:rsidP="00EC5A8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Some of the time</w:t>
                            </w:r>
                          </w:p>
                          <w:p w:rsidR="00EC5A87" w:rsidRPr="00EC5A87" w:rsidRDefault="00EC5A87" w:rsidP="00EC5A8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Consistently, most of the time</w:t>
                            </w:r>
                          </w:p>
                          <w:p w:rsidR="000D2EE2" w:rsidRPr="00CB11EA" w:rsidRDefault="000D2EE2" w:rsidP="00EC5A8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11EA">
                              <w:rPr>
                                <w:b/>
                                <w:sz w:val="24"/>
                                <w:szCs w:val="24"/>
                              </w:rPr>
                              <w:t>Always/100% Meets 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8pt;margin-top:-.3pt;width:1in;height:103.3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" fillcolor="#b0bcff" strokecolor="black [3213]" strokeweight=".5pt">
                <v:textbox>
                  <w:txbxContent>
                    <w:p w:rsidR="00FF75E4" w:rsidRPr="00CB11EA" w:rsidRDefault="00DA4935" w:rsidP="00FF75E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B11EA">
                        <w:rPr>
                          <w:b/>
                          <w:sz w:val="24"/>
                          <w:szCs w:val="24"/>
                        </w:rPr>
                        <w:t>STANDARDS OF EXCELLENCE SCORING KEY</w:t>
                      </w:r>
                    </w:p>
                    <w:p w:rsidR="00FF75E4" w:rsidRDefault="000D2EE2" w:rsidP="00EC5A8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CB11EA">
                        <w:rPr>
                          <w:b/>
                          <w:sz w:val="24"/>
                          <w:szCs w:val="24"/>
                        </w:rPr>
                        <w:t>Never/Not at All</w:t>
                      </w:r>
                    </w:p>
                    <w:p w:rsidR="00EC5A87" w:rsidRPr="00CB11EA" w:rsidRDefault="00EC5A87" w:rsidP="00EC5A8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Rarely/ Occasionally</w:t>
                      </w:r>
                    </w:p>
                    <w:p w:rsidR="00FF75E4" w:rsidRDefault="00EC5A87" w:rsidP="00EC5A8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Some of the time</w:t>
                      </w:r>
                    </w:p>
                    <w:p w:rsidR="00EC5A87" w:rsidRPr="00EC5A87" w:rsidRDefault="00EC5A87" w:rsidP="00EC5A8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Consistently, most of the time</w:t>
                      </w:r>
                    </w:p>
                    <w:p w:rsidR="000D2EE2" w:rsidRPr="00CB11EA" w:rsidRDefault="000D2EE2" w:rsidP="00EC5A8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CB11EA">
                        <w:rPr>
                          <w:b/>
                          <w:sz w:val="24"/>
                          <w:szCs w:val="24"/>
                        </w:rPr>
                        <w:t>Always/100% Meets Standard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A20">
        <w:rPr>
          <w:b/>
          <w:noProof/>
          <w:sz w:val="40"/>
          <w:szCs w:val="40"/>
        </w:rPr>
        <w:drawing>
          <wp:inline distT="0" distB="0" distL="0" distR="0">
            <wp:extent cx="2106028" cy="478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_logo_horizontal_rgb_brandpurp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820" cy="49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A87" w:rsidRDefault="00347A20" w:rsidP="00320F8D">
      <w:pPr>
        <w:spacing w:after="0"/>
        <w:rPr>
          <w:rFonts w:ascii="Graphik Compact Black" w:hAnsi="Graphik Compact Black"/>
          <w:b/>
          <w:sz w:val="40"/>
          <w:szCs w:val="40"/>
        </w:rPr>
      </w:pPr>
      <w:r w:rsidRPr="00DA4935">
        <w:rPr>
          <w:rFonts w:ascii="Graphik Compact Black" w:hAnsi="Graphik Compact Black"/>
          <w:b/>
          <w:sz w:val="40"/>
          <w:szCs w:val="40"/>
        </w:rPr>
        <w:t xml:space="preserve">Standards of </w:t>
      </w:r>
      <w:r w:rsidR="00C00ADC" w:rsidRPr="00DA4935">
        <w:rPr>
          <w:rFonts w:ascii="Graphik Compact Black" w:hAnsi="Graphik Compact Black"/>
          <w:b/>
          <w:sz w:val="40"/>
          <w:szCs w:val="40"/>
        </w:rPr>
        <w:t>Excellence</w:t>
      </w:r>
      <w:r w:rsidRPr="00DA4935">
        <w:rPr>
          <w:rFonts w:ascii="Graphik Compact Black" w:hAnsi="Graphik Compact Black"/>
          <w:b/>
          <w:sz w:val="40"/>
          <w:szCs w:val="40"/>
        </w:rPr>
        <w:t xml:space="preserve"> </w:t>
      </w:r>
    </w:p>
    <w:p w:rsidR="007A1957" w:rsidRDefault="001A39A5" w:rsidP="00320F8D">
      <w:pPr>
        <w:spacing w:after="0"/>
        <w:rPr>
          <w:rFonts w:ascii="Graphik Compact Black" w:hAnsi="Graphik Compact Black"/>
          <w:b/>
          <w:sz w:val="40"/>
          <w:szCs w:val="40"/>
        </w:rPr>
      </w:pPr>
      <w:r w:rsidRPr="00DA4935">
        <w:rPr>
          <w:rFonts w:ascii="Graphik Compact Black" w:hAnsi="Graphik Compact Black"/>
          <w:b/>
          <w:sz w:val="40"/>
          <w:szCs w:val="40"/>
        </w:rPr>
        <w:t xml:space="preserve">Market </w:t>
      </w:r>
      <w:r w:rsidR="007A1957" w:rsidRPr="00DA4935">
        <w:rPr>
          <w:rFonts w:ascii="Graphik Compact Black" w:hAnsi="Graphik Compact Black"/>
          <w:b/>
          <w:sz w:val="40"/>
          <w:szCs w:val="40"/>
        </w:rPr>
        <w:t>Board</w:t>
      </w:r>
      <w:r w:rsidR="00347A20" w:rsidRPr="00DA4935">
        <w:rPr>
          <w:rFonts w:ascii="Graphik Compact Black" w:hAnsi="Graphik Compact Black"/>
          <w:b/>
          <w:sz w:val="40"/>
          <w:szCs w:val="40"/>
        </w:rPr>
        <w:t xml:space="preserve"> Assessment</w:t>
      </w:r>
    </w:p>
    <w:p w:rsidR="00EC5A87" w:rsidRDefault="00EC5A87" w:rsidP="00320F8D">
      <w:pPr>
        <w:spacing w:after="0"/>
      </w:pPr>
    </w:p>
    <w:p w:rsidR="00EC5A87" w:rsidRDefault="00EC5A87" w:rsidP="00320F8D">
      <w:pPr>
        <w:spacing w:after="0"/>
      </w:pPr>
      <w:r>
        <w:t>The Standards of Excellence provide a guid</w:t>
      </w:r>
      <w:r w:rsidR="001D3B1D">
        <w:t xml:space="preserve">e of best practices to which Market Boards should hold themselves accountable. </w:t>
      </w:r>
      <w:r w:rsidR="00403330">
        <w:t>The</w:t>
      </w:r>
      <w:r>
        <w:t xml:space="preserve"> template has four </w:t>
      </w:r>
      <w:r w:rsidRPr="001D3B1D">
        <w:t>sections</w:t>
      </w:r>
      <w:r w:rsidR="001D3B1D" w:rsidRPr="001D3B1D">
        <w:t xml:space="preserve">. The </w:t>
      </w:r>
      <w:r w:rsidR="001D3B1D" w:rsidRPr="00403330">
        <w:rPr>
          <w:b/>
        </w:rPr>
        <w:t>Performance</w:t>
      </w:r>
      <w:r w:rsidR="001D3B1D" w:rsidRPr="001D3B1D">
        <w:t xml:space="preserve"> section should be completed by the entire </w:t>
      </w:r>
      <w:r w:rsidR="00CB4605">
        <w:t>Market B</w:t>
      </w:r>
      <w:r w:rsidR="001D3B1D" w:rsidRPr="001D3B1D">
        <w:t>oard together</w:t>
      </w:r>
      <w:r w:rsidR="00403330">
        <w:t>,</w:t>
      </w:r>
      <w:r w:rsidR="001D3B1D">
        <w:t xml:space="preserve"> and t</w:t>
      </w:r>
      <w:r w:rsidR="001D3B1D" w:rsidRPr="001D3B1D">
        <w:t xml:space="preserve">he </w:t>
      </w:r>
      <w:r w:rsidR="001D3B1D">
        <w:t xml:space="preserve">Board Chair can then hone in on </w:t>
      </w:r>
      <w:r w:rsidR="00CB4605">
        <w:t xml:space="preserve">gaps and areas for improvement, </w:t>
      </w:r>
      <w:r w:rsidR="001D3B1D">
        <w:t>and can track year over year progress.</w:t>
      </w:r>
      <w:r w:rsidR="001D3B1D" w:rsidRPr="001D3B1D">
        <w:t xml:space="preserve">  </w:t>
      </w:r>
      <w:r w:rsidRPr="001D3B1D">
        <w:t xml:space="preserve">The </w:t>
      </w:r>
      <w:r w:rsidRPr="00403330">
        <w:rPr>
          <w:b/>
        </w:rPr>
        <w:t>Growth, Mission Impact, and Movement</w:t>
      </w:r>
      <w:r w:rsidRPr="001D3B1D">
        <w:t xml:space="preserve"> sections should be completed by </w:t>
      </w:r>
      <w:r w:rsidR="001D3B1D">
        <w:t>the</w:t>
      </w:r>
      <w:r w:rsidR="00CB4605">
        <w:t>se</w:t>
      </w:r>
      <w:r w:rsidR="001D3B1D">
        <w:t xml:space="preserve"> </w:t>
      </w:r>
      <w:r w:rsidR="00115DA0">
        <w:t>Standing C</w:t>
      </w:r>
      <w:r w:rsidR="001D3B1D">
        <w:t>ommittees of the board</w:t>
      </w:r>
      <w:r w:rsidR="00403330">
        <w:t xml:space="preserve">. </w:t>
      </w:r>
      <w:r>
        <w:t>Should you need assistance completing this assessment, plea</w:t>
      </w:r>
      <w:r w:rsidR="0067688F">
        <w:t>se reach out to your staff partner to connect with</w:t>
      </w:r>
      <w:r>
        <w:t xml:space="preserve"> a National Volunteer Leadership Council member to facilitate this process. </w:t>
      </w:r>
      <w:hyperlink r:id="rId9" w:history="1">
        <w:r w:rsidR="00053298">
          <w:rPr>
            <w:rStyle w:val="Hyperlink"/>
          </w:rPr>
          <w:t>https://volunteer.marchofdimes.org/</w:t>
        </w:r>
      </w:hyperlink>
    </w:p>
    <w:p w:rsidR="0091072F" w:rsidRPr="00B74161" w:rsidRDefault="0091072F" w:rsidP="004D5DDD">
      <w:pPr>
        <w:rPr>
          <w:color w:val="FF0000"/>
        </w:rPr>
      </w:pPr>
    </w:p>
    <w:tbl>
      <w:tblPr>
        <w:tblStyle w:val="TableGrid"/>
        <w:tblW w:w="10695" w:type="dxa"/>
        <w:tblLayout w:type="fixed"/>
        <w:tblLook w:val="04A0" w:firstRow="1" w:lastRow="0" w:firstColumn="1" w:lastColumn="0" w:noHBand="0" w:noVBand="1"/>
      </w:tblPr>
      <w:tblGrid>
        <w:gridCol w:w="9345"/>
        <w:gridCol w:w="1350"/>
      </w:tblGrid>
      <w:tr w:rsidR="004D5DDD" w:rsidRPr="007A1957" w:rsidTr="002B2002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29EC"/>
          </w:tcPr>
          <w:p w:rsidR="004D5DDD" w:rsidRDefault="004D5DDD" w:rsidP="002B2002">
            <w:pPr>
              <w:jc w:val="center"/>
              <w:rPr>
                <w:rFonts w:ascii="Graphik Compact Black" w:hAnsi="Graphik Compact Black"/>
                <w:b/>
                <w:sz w:val="40"/>
                <w:szCs w:val="40"/>
              </w:rPr>
            </w:pPr>
            <w:r>
              <w:rPr>
                <w:rFonts w:ascii="Graphik Compact Black" w:hAnsi="Graphik Compact Black"/>
                <w:b/>
                <w:sz w:val="40"/>
                <w:szCs w:val="40"/>
              </w:rPr>
              <w:t>PERFORMANCE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29EC"/>
          </w:tcPr>
          <w:p w:rsidR="004D5DDD" w:rsidRDefault="00EF444B" w:rsidP="002B2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 1-5</w:t>
            </w:r>
          </w:p>
        </w:tc>
      </w:tr>
      <w:tr w:rsidR="004D5DDD" w:rsidRPr="007A1957" w:rsidTr="002B2002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A7FE8"/>
          </w:tcPr>
          <w:p w:rsidR="004D5DDD" w:rsidRPr="00E97FE9" w:rsidRDefault="004D5DDD" w:rsidP="004D5DDD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E97FE9">
              <w:rPr>
                <w:b/>
                <w:sz w:val="24"/>
                <w:szCs w:val="24"/>
              </w:rPr>
              <w:t>STRUCTURE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A7FE8"/>
          </w:tcPr>
          <w:p w:rsidR="004D5DDD" w:rsidRPr="002D1C83" w:rsidRDefault="004D5DDD" w:rsidP="002B20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2"/>
        <w:tblW w:w="10695" w:type="dxa"/>
        <w:tblLayout w:type="fixed"/>
        <w:tblLook w:val="04A0" w:firstRow="1" w:lastRow="0" w:firstColumn="1" w:lastColumn="0" w:noHBand="0" w:noVBand="1"/>
      </w:tblPr>
      <w:tblGrid>
        <w:gridCol w:w="9345"/>
        <w:gridCol w:w="1350"/>
      </w:tblGrid>
      <w:tr w:rsidR="004D5DDD" w:rsidRPr="007A1957" w:rsidTr="002B2002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DDD" w:rsidRPr="00DA4935" w:rsidRDefault="00EF444B" w:rsidP="00EF444B">
            <w:pPr>
              <w:pStyle w:val="ListParagraph"/>
              <w:numPr>
                <w:ilvl w:val="0"/>
                <w:numId w:val="18"/>
              </w:numPr>
            </w:pPr>
            <w:r>
              <w:t xml:space="preserve">Board Leadership and </w:t>
            </w:r>
            <w:r w:rsidR="004D5DDD" w:rsidRPr="00DA4935">
              <w:t>Standing Committees established, led and staffed by high-impact volunteers and focused on critica</w:t>
            </w:r>
            <w:r>
              <w:t>l priorities including mission impact, growth, movement, and performance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DDD" w:rsidRPr="007A1957" w:rsidRDefault="004D5DDD" w:rsidP="002B2002">
            <w:pPr>
              <w:rPr>
                <w:sz w:val="28"/>
                <w:szCs w:val="28"/>
              </w:rPr>
            </w:pPr>
          </w:p>
        </w:tc>
      </w:tr>
      <w:tr w:rsidR="004D5DDD" w:rsidRPr="007A1957" w:rsidTr="002B2002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5DDD" w:rsidRPr="00DA4935" w:rsidRDefault="005A03C5" w:rsidP="005A03C5">
            <w:pPr>
              <w:pStyle w:val="ListParagraph"/>
              <w:numPr>
                <w:ilvl w:val="0"/>
                <w:numId w:val="18"/>
              </w:numPr>
            </w:pPr>
            <w:r>
              <w:t>Mission Impact, Growth and Movement c</w:t>
            </w:r>
            <w:r w:rsidR="004D5DDD" w:rsidRPr="00DA4935">
              <w:t xml:space="preserve">ommittees have well-designed </w:t>
            </w:r>
            <w:r w:rsidR="00EF444B">
              <w:t>action plans for the year</w:t>
            </w:r>
            <w:r w:rsidR="004D5DDD" w:rsidRPr="00DA4935">
              <w:t xml:space="preserve"> including purpose, </w:t>
            </w:r>
            <w:r w:rsidR="00EF444B">
              <w:t xml:space="preserve">goals, benchmarks, </w:t>
            </w:r>
            <w:r w:rsidR="004D5DDD" w:rsidRPr="00DA4935">
              <w:t>timelines</w:t>
            </w:r>
            <w:r w:rsidR="00EF444B">
              <w:t>, and deliverables for both staff and volunteers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5DDD" w:rsidRPr="007A1957" w:rsidRDefault="004D5DDD" w:rsidP="002B2002">
            <w:pPr>
              <w:rPr>
                <w:sz w:val="28"/>
                <w:szCs w:val="28"/>
              </w:rPr>
            </w:pPr>
          </w:p>
        </w:tc>
      </w:tr>
      <w:tr w:rsidR="004D5DDD" w:rsidRPr="007A1957" w:rsidTr="002B2002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DDD" w:rsidRPr="00DA4935" w:rsidRDefault="004D5DDD" w:rsidP="000902B8">
            <w:pPr>
              <w:pStyle w:val="ListParagraph"/>
              <w:numPr>
                <w:ilvl w:val="0"/>
                <w:numId w:val="18"/>
              </w:numPr>
            </w:pPr>
            <w:r w:rsidRPr="00DA4935">
              <w:t>Market Boards are operating within Market Board Gu</w:t>
            </w:r>
            <w:r w:rsidR="000902B8">
              <w:t>idelines including term limits and  Give and G</w:t>
            </w:r>
            <w:r w:rsidRPr="00DA4935">
              <w:t>et requirements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DDD" w:rsidRPr="007A1957" w:rsidRDefault="004D5DDD" w:rsidP="002B2002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10695" w:type="dxa"/>
        <w:tblLayout w:type="fixed"/>
        <w:tblLook w:val="04A0" w:firstRow="1" w:lastRow="0" w:firstColumn="1" w:lastColumn="0" w:noHBand="0" w:noVBand="1"/>
      </w:tblPr>
      <w:tblGrid>
        <w:gridCol w:w="9345"/>
        <w:gridCol w:w="1350"/>
      </w:tblGrid>
      <w:tr w:rsidR="004D5DDD" w:rsidRPr="007A1957" w:rsidTr="002B2002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A7FE8"/>
          </w:tcPr>
          <w:p w:rsidR="004D5DDD" w:rsidRPr="00E97FE9" w:rsidRDefault="004D5DDD" w:rsidP="0082015E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E97FE9">
              <w:rPr>
                <w:b/>
                <w:sz w:val="24"/>
                <w:szCs w:val="24"/>
              </w:rPr>
              <w:t xml:space="preserve">MARKET BOARD </w:t>
            </w:r>
            <w:r w:rsidR="0082015E">
              <w:rPr>
                <w:b/>
                <w:sz w:val="24"/>
                <w:szCs w:val="24"/>
              </w:rPr>
              <w:t>BUSINESS PLANNING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A7FE8"/>
          </w:tcPr>
          <w:p w:rsidR="004D5DDD" w:rsidRPr="002D1C83" w:rsidRDefault="004D5DDD" w:rsidP="002B20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DDD" w:rsidRPr="007A1957" w:rsidTr="002B2002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D5DDD" w:rsidRPr="00DA4935" w:rsidRDefault="00E064D8" w:rsidP="0082015E">
            <w:pPr>
              <w:pStyle w:val="ListParagraph"/>
              <w:numPr>
                <w:ilvl w:val="0"/>
                <w:numId w:val="18"/>
              </w:numPr>
            </w:pPr>
            <w:r w:rsidRPr="00DA4935">
              <w:t>Market Board Chair, key board members and market lead staff partner</w:t>
            </w:r>
            <w:r>
              <w:t xml:space="preserve"> develop the </w:t>
            </w:r>
            <w:r w:rsidR="004D5DDD" w:rsidRPr="00DA4935">
              <w:t>Annual Strategic Business Plan, reflective of the Natio</w:t>
            </w:r>
            <w:r>
              <w:t>nal Strategic Plan and based on thorough financial and impact analysis.</w:t>
            </w:r>
            <w:r w:rsidR="004D5DDD" w:rsidRPr="00DA4935">
              <w:t xml:space="preserve"> 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D5DDD" w:rsidRPr="007A1957" w:rsidRDefault="004D5DDD" w:rsidP="002B2002">
            <w:pPr>
              <w:rPr>
                <w:sz w:val="28"/>
                <w:szCs w:val="28"/>
              </w:rPr>
            </w:pPr>
          </w:p>
        </w:tc>
      </w:tr>
      <w:tr w:rsidR="00E064D8" w:rsidRPr="007A1957" w:rsidTr="002B2002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064D8" w:rsidRDefault="00E064D8" w:rsidP="0082015E">
            <w:pPr>
              <w:pStyle w:val="ListParagraph"/>
              <w:numPr>
                <w:ilvl w:val="0"/>
                <w:numId w:val="18"/>
              </w:numPr>
            </w:pPr>
            <w:r w:rsidRPr="00DA4935">
              <w:t xml:space="preserve">Plan clearly identifies strategic priorities, goals and actions to deliver on market </w:t>
            </w:r>
            <w:r>
              <w:t>fundraising for all revenue streams for a three-year period.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064D8" w:rsidRPr="007A1957" w:rsidRDefault="00E064D8" w:rsidP="002B2002">
            <w:pPr>
              <w:rPr>
                <w:sz w:val="28"/>
                <w:szCs w:val="28"/>
              </w:rPr>
            </w:pPr>
          </w:p>
        </w:tc>
      </w:tr>
      <w:tr w:rsidR="004D5DDD" w:rsidRPr="007A1957" w:rsidTr="002B2002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5DDD" w:rsidRPr="00DA4935" w:rsidRDefault="00E064D8" w:rsidP="0082015E">
            <w:pPr>
              <w:pStyle w:val="ListParagraph"/>
              <w:numPr>
                <w:ilvl w:val="0"/>
                <w:numId w:val="18"/>
              </w:numPr>
            </w:pPr>
            <w:r>
              <w:t>Delegate a</w:t>
            </w:r>
            <w:r w:rsidR="004D5DDD" w:rsidRPr="00DA4935">
              <w:t>ctions necessary to attai</w:t>
            </w:r>
            <w:r>
              <w:t xml:space="preserve">n each element of the plan </w:t>
            </w:r>
            <w:r w:rsidR="004D5DDD" w:rsidRPr="00DA4935">
              <w:t>to the appropriate committee, Board Members and/or staff</w:t>
            </w:r>
            <w:r w:rsidR="005A03C5">
              <w:t xml:space="preserve">. 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5DDD" w:rsidRPr="007A1957" w:rsidRDefault="004D5DDD" w:rsidP="002B2002">
            <w:pPr>
              <w:rPr>
                <w:sz w:val="28"/>
                <w:szCs w:val="28"/>
              </w:rPr>
            </w:pPr>
          </w:p>
        </w:tc>
      </w:tr>
      <w:tr w:rsidR="00BF427E" w:rsidRPr="007A1957" w:rsidTr="002B2002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427E" w:rsidRPr="00DA4935" w:rsidRDefault="00BF427E" w:rsidP="0082015E">
            <w:pPr>
              <w:pStyle w:val="ListParagraph"/>
              <w:numPr>
                <w:ilvl w:val="0"/>
                <w:numId w:val="18"/>
              </w:numPr>
            </w:pPr>
            <w:r>
              <w:t>Review p</w:t>
            </w:r>
            <w:r w:rsidRPr="00DA4935">
              <w:t xml:space="preserve">rogress against </w:t>
            </w:r>
            <w:r w:rsidRPr="00612443">
              <w:t>plan (including Market Score Card</w:t>
            </w:r>
            <w:r>
              <w:t xml:space="preserve">) at every board meeting </w:t>
            </w:r>
            <w:r w:rsidRPr="00DA4935">
              <w:t>using financial dashboar</w:t>
            </w:r>
            <w:r>
              <w:t xml:space="preserve">d format </w:t>
            </w:r>
            <w:r w:rsidRPr="00DA4935">
              <w:t>and in one-on-one meetings between Market Board Chair and market staff lead</w:t>
            </w:r>
            <w:r>
              <w:t>er to hold staff accountable to overall market objectives.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427E" w:rsidRPr="007A1957" w:rsidRDefault="00BF427E" w:rsidP="002B2002">
            <w:pPr>
              <w:rPr>
                <w:sz w:val="28"/>
                <w:szCs w:val="28"/>
              </w:rPr>
            </w:pPr>
          </w:p>
        </w:tc>
      </w:tr>
      <w:tr w:rsidR="008A0D9F" w:rsidRPr="007A1957" w:rsidTr="0082015E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 w:themeFill="accent5"/>
          </w:tcPr>
          <w:p w:rsidR="008A0D9F" w:rsidRPr="0082015E" w:rsidRDefault="0082015E" w:rsidP="0082015E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MARKET BOARD </w:t>
            </w:r>
            <w:r w:rsidR="008A0D9F" w:rsidRPr="0082015E">
              <w:rPr>
                <w:b/>
              </w:rPr>
              <w:t xml:space="preserve">CORE </w:t>
            </w:r>
            <w:r>
              <w:rPr>
                <w:b/>
              </w:rPr>
              <w:t xml:space="preserve">GROUP </w:t>
            </w:r>
            <w:r w:rsidR="008A0D9F" w:rsidRPr="0082015E">
              <w:rPr>
                <w:b/>
              </w:rPr>
              <w:t xml:space="preserve">RESPONSIBILITIES 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 w:themeFill="accent5"/>
          </w:tcPr>
          <w:p w:rsidR="008A0D9F" w:rsidRPr="007A1957" w:rsidRDefault="008A0D9F" w:rsidP="002B2002">
            <w:pPr>
              <w:rPr>
                <w:sz w:val="28"/>
                <w:szCs w:val="28"/>
              </w:rPr>
            </w:pPr>
          </w:p>
        </w:tc>
      </w:tr>
      <w:tr w:rsidR="00403330" w:rsidRPr="007A1957" w:rsidTr="002B2002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03330" w:rsidRPr="00E064D8" w:rsidRDefault="0082015E" w:rsidP="00612443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 w:rsidRPr="008A0D9F">
              <w:t xml:space="preserve">Steward </w:t>
            </w:r>
            <w:r w:rsidR="00210900">
              <w:t xml:space="preserve">relationships with </w:t>
            </w:r>
            <w:r w:rsidR="00612443">
              <w:t>donor</w:t>
            </w:r>
            <w:r w:rsidR="00210900">
              <w:t>s</w:t>
            </w:r>
            <w:r w:rsidR="00612443">
              <w:t xml:space="preserve"> and top prospect</w:t>
            </w:r>
            <w:r w:rsidR="00210900">
              <w:t>s</w:t>
            </w:r>
            <w:r w:rsidRPr="008A0D9F">
              <w:t xml:space="preserve">, </w:t>
            </w:r>
            <w:r w:rsidR="00612443">
              <w:t>facilitate strategic introductions and open</w:t>
            </w:r>
            <w:r w:rsidRPr="008A0D9F">
              <w:t xml:space="preserve"> doors</w:t>
            </w:r>
            <w:r>
              <w:t xml:space="preserve"> for March of Dimes that generate </w:t>
            </w:r>
            <w:r w:rsidRPr="008A0D9F">
              <w:t>revenue</w:t>
            </w:r>
            <w:r w:rsidR="00612443">
              <w:t xml:space="preserve">, </w:t>
            </w:r>
            <w:r>
              <w:t>grow impact</w:t>
            </w:r>
            <w:r w:rsidRPr="008A0D9F">
              <w:t xml:space="preserve"> </w:t>
            </w:r>
            <w:r w:rsidR="00612443">
              <w:t>and foster a</w:t>
            </w:r>
            <w:r w:rsidR="00210900">
              <w:t xml:space="preserve"> culture of mission integration</w:t>
            </w:r>
            <w:r w:rsidR="00612443">
              <w:t xml:space="preserve"> </w:t>
            </w:r>
            <w:r w:rsidRPr="008A0D9F">
              <w:t xml:space="preserve">(SEE GROWTH </w:t>
            </w:r>
            <w:r w:rsidR="00612443">
              <w:t xml:space="preserve">AND MISSION IMPACT </w:t>
            </w:r>
            <w:r w:rsidRPr="008A0D9F">
              <w:t>SECTION FOR MORE)</w:t>
            </w:r>
            <w:r w:rsidR="00210900">
              <w:t>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03330" w:rsidRPr="007A1957" w:rsidRDefault="00403330" w:rsidP="002B2002">
            <w:pPr>
              <w:rPr>
                <w:sz w:val="28"/>
                <w:szCs w:val="28"/>
              </w:rPr>
            </w:pPr>
          </w:p>
        </w:tc>
      </w:tr>
      <w:tr w:rsidR="00403330" w:rsidRPr="007A1957" w:rsidTr="002B2002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03330" w:rsidRPr="00CB4605" w:rsidRDefault="0082015E" w:rsidP="0082015E">
            <w:pPr>
              <w:pStyle w:val="ListParagraph"/>
              <w:numPr>
                <w:ilvl w:val="0"/>
                <w:numId w:val="18"/>
              </w:numPr>
              <w:rPr>
                <w:u w:val="single"/>
              </w:rPr>
            </w:pPr>
            <w:r w:rsidRPr="00403330">
              <w:t>Recruit new board members</w:t>
            </w:r>
            <w:r>
              <w:t xml:space="preserve"> and other volunteer leaders</w:t>
            </w:r>
            <w:r w:rsidRPr="00403330">
              <w:t xml:space="preserve"> that represent the communities we serve</w:t>
            </w:r>
            <w:r>
              <w:t xml:space="preserve"> and engage/ mobilize volunteers around the mission (SEE MOVEMENT SECTION FOR MORE).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03330" w:rsidRPr="007A1957" w:rsidRDefault="00403330" w:rsidP="002B2002">
            <w:pPr>
              <w:rPr>
                <w:sz w:val="28"/>
                <w:szCs w:val="28"/>
              </w:rPr>
            </w:pPr>
          </w:p>
        </w:tc>
      </w:tr>
      <w:tr w:rsidR="004D5DDD" w:rsidRPr="007A1957" w:rsidTr="002B2002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74161" w:rsidRPr="008A0D9F" w:rsidRDefault="0082015E" w:rsidP="0082015E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 xml:space="preserve">Hold </w:t>
            </w:r>
            <w:r w:rsidRPr="008A0D9F">
              <w:t>E</w:t>
            </w:r>
            <w:r>
              <w:t xml:space="preserve">xecutive </w:t>
            </w:r>
            <w:r w:rsidRPr="008A0D9F">
              <w:t>D</w:t>
            </w:r>
            <w:r>
              <w:t>irector</w:t>
            </w:r>
            <w:r w:rsidRPr="008A0D9F">
              <w:t xml:space="preserve"> </w:t>
            </w:r>
            <w:r>
              <w:t xml:space="preserve">and other staff </w:t>
            </w:r>
            <w:r w:rsidRPr="008A0D9F">
              <w:t>accountable</w:t>
            </w:r>
            <w:r>
              <w:t xml:space="preserve"> for meeting business plan objectives</w:t>
            </w:r>
            <w:r w:rsidRPr="008A0D9F">
              <w:t xml:space="preserve">, using </w:t>
            </w:r>
            <w:r w:rsidRPr="008A0D9F">
              <w:rPr>
                <w:u w:val="single"/>
              </w:rPr>
              <w:t>financial dashboard</w:t>
            </w:r>
            <w:r w:rsidRPr="008A0D9F">
              <w:t xml:space="preserve"> by market</w:t>
            </w:r>
            <w:r>
              <w:t>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5DDD" w:rsidRPr="007A1957" w:rsidRDefault="004D5DDD" w:rsidP="002B2002">
            <w:pPr>
              <w:rPr>
                <w:sz w:val="28"/>
                <w:szCs w:val="28"/>
              </w:rPr>
            </w:pPr>
          </w:p>
        </w:tc>
      </w:tr>
      <w:tr w:rsidR="004D5DDD" w:rsidRPr="007A1957" w:rsidTr="002B2002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179FF"/>
          </w:tcPr>
          <w:p w:rsidR="004D5DDD" w:rsidRPr="00E97FE9" w:rsidRDefault="004D5DDD" w:rsidP="004D5DDD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E97FE9">
              <w:rPr>
                <w:b/>
                <w:sz w:val="24"/>
                <w:szCs w:val="24"/>
              </w:rPr>
              <w:t>INDIVIDUAL MARKET BOARD MEMBER RESPONSIBILITIES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179FF"/>
          </w:tcPr>
          <w:p w:rsidR="004D5DDD" w:rsidRPr="007A1957" w:rsidRDefault="004D5DDD" w:rsidP="002B2002">
            <w:pPr>
              <w:rPr>
                <w:sz w:val="28"/>
                <w:szCs w:val="28"/>
              </w:rPr>
            </w:pPr>
          </w:p>
        </w:tc>
      </w:tr>
      <w:tr w:rsidR="00324CD0" w:rsidRPr="007A1957" w:rsidTr="002B2002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4CD0" w:rsidRDefault="00324CD0" w:rsidP="0082015E">
            <w:pPr>
              <w:pStyle w:val="ListParagraph"/>
              <w:numPr>
                <w:ilvl w:val="0"/>
                <w:numId w:val="18"/>
              </w:numPr>
            </w:pPr>
            <w:r>
              <w:t xml:space="preserve">Track market board member contributions through the </w:t>
            </w:r>
            <w:r w:rsidRPr="00DA4935">
              <w:t xml:space="preserve">Market Board </w:t>
            </w:r>
            <w:r>
              <w:t xml:space="preserve">Individual Engagement Plan </w:t>
            </w:r>
            <w:r w:rsidRPr="00706065">
              <w:t>including at least 90% of members on track for meeting planned</w:t>
            </w:r>
            <w:r>
              <w:t xml:space="preserve"> objectives, doing the work and meeting Individual Giving and Give and Get financial targets. 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4CD0" w:rsidRPr="007A1957" w:rsidRDefault="00324CD0" w:rsidP="002B2002">
            <w:pPr>
              <w:rPr>
                <w:sz w:val="28"/>
                <w:szCs w:val="28"/>
              </w:rPr>
            </w:pPr>
          </w:p>
        </w:tc>
      </w:tr>
      <w:tr w:rsidR="004D5DDD" w:rsidRPr="007A1957" w:rsidTr="002B2002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5DDD" w:rsidRPr="00DA4935" w:rsidRDefault="00324CD0" w:rsidP="0082015E">
            <w:pPr>
              <w:pStyle w:val="ListParagraph"/>
              <w:numPr>
                <w:ilvl w:val="0"/>
                <w:numId w:val="18"/>
              </w:numPr>
            </w:pPr>
            <w:r>
              <w:t>Adhere to Market Board member financial support standards:  1) A</w:t>
            </w:r>
            <w:r w:rsidR="00706065" w:rsidRPr="00706065">
              <w:t>n annual individua</w:t>
            </w:r>
            <w:r w:rsidR="00706065">
              <w:t xml:space="preserve">l gift </w:t>
            </w:r>
            <w:r w:rsidR="00706065" w:rsidRPr="00706065">
              <w:t xml:space="preserve">and 2) </w:t>
            </w:r>
            <w:r>
              <w:t>A</w:t>
            </w:r>
            <w:r w:rsidR="00706065">
              <w:t>chieving Give and Get</w:t>
            </w:r>
            <w:r w:rsidR="004D5DDD" w:rsidRPr="00706065">
              <w:t xml:space="preserve"> </w:t>
            </w:r>
            <w:r>
              <w:t xml:space="preserve">target </w:t>
            </w:r>
            <w:r w:rsidR="004D5DDD" w:rsidRPr="00706065">
              <w:t>on an annual basis</w:t>
            </w:r>
            <w:r w:rsidR="00706065">
              <w:t xml:space="preserve">. Individual giving, and Give and Get </w:t>
            </w:r>
            <w:r>
              <w:t xml:space="preserve">targets </w:t>
            </w:r>
            <w:r w:rsidR="00706065">
              <w:t>both</w:t>
            </w:r>
            <w:r w:rsidR="00B4632A" w:rsidRPr="00706065">
              <w:t xml:space="preserve"> set by market</w:t>
            </w:r>
            <w:r w:rsidR="00EF444B" w:rsidRPr="00706065">
              <w:t xml:space="preserve">. Action plans for those </w:t>
            </w:r>
            <w:r w:rsidR="00706065">
              <w:t xml:space="preserve">members </w:t>
            </w:r>
            <w:r w:rsidR="00EF444B" w:rsidRPr="00706065">
              <w:t xml:space="preserve">tracking below requirements are </w:t>
            </w:r>
            <w:r w:rsidR="00706065">
              <w:t xml:space="preserve">put into place to help all members </w:t>
            </w:r>
            <w:r w:rsidR="00EF444B" w:rsidRPr="00706065">
              <w:t>surpass their goal</w:t>
            </w:r>
            <w:r w:rsidR="00B74161" w:rsidRPr="00706065">
              <w:t xml:space="preserve"> (SEE MOVEMENT SECTION FOR MORE)</w:t>
            </w:r>
            <w:r w:rsidR="00706065">
              <w:t>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5DDD" w:rsidRPr="007A1957" w:rsidRDefault="004D5DDD" w:rsidP="002B2002">
            <w:pPr>
              <w:rPr>
                <w:sz w:val="28"/>
                <w:szCs w:val="28"/>
              </w:rPr>
            </w:pPr>
          </w:p>
        </w:tc>
      </w:tr>
      <w:tr w:rsidR="004D5DDD" w:rsidRPr="007A1957" w:rsidTr="002B2002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0BCFF"/>
          </w:tcPr>
          <w:p w:rsidR="004D5DDD" w:rsidRPr="00244588" w:rsidRDefault="004D5DDD" w:rsidP="002B2002">
            <w:pPr>
              <w:jc w:val="right"/>
              <w:rPr>
                <w:b/>
              </w:rPr>
            </w:pPr>
            <w:r>
              <w:rPr>
                <w:b/>
              </w:rPr>
              <w:t>Total Score - Performance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0BCFF"/>
          </w:tcPr>
          <w:p w:rsidR="004D5DDD" w:rsidRPr="007A1957" w:rsidRDefault="004D5DDD" w:rsidP="002B2002">
            <w:pPr>
              <w:rPr>
                <w:sz w:val="28"/>
                <w:szCs w:val="28"/>
              </w:rPr>
            </w:pPr>
          </w:p>
        </w:tc>
      </w:tr>
    </w:tbl>
    <w:p w:rsidR="004D5DDD" w:rsidRDefault="004D5DDD" w:rsidP="00320F8D">
      <w:pPr>
        <w:spacing w:after="0"/>
        <w:rPr>
          <w:rFonts w:ascii="Graphik Compact Black" w:hAnsi="Graphik Compact Black"/>
          <w:b/>
          <w:sz w:val="28"/>
          <w:szCs w:val="40"/>
        </w:rPr>
      </w:pPr>
    </w:p>
    <w:p w:rsidR="0082015E" w:rsidRDefault="0082015E" w:rsidP="005031B2">
      <w:pPr>
        <w:spacing w:after="0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</w:p>
    <w:p w:rsidR="0082015E" w:rsidRDefault="0082015E" w:rsidP="005031B2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Guide to scoring:</w:t>
      </w:r>
    </w:p>
    <w:p w:rsidR="005031B2" w:rsidRPr="005031B2" w:rsidRDefault="001D6C6F" w:rsidP="005031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score is intended </w:t>
      </w:r>
      <w:r w:rsidR="005031B2" w:rsidRPr="005031B2">
        <w:rPr>
          <w:rFonts w:cstheme="minorHAnsi"/>
          <w:sz w:val="24"/>
          <w:szCs w:val="24"/>
        </w:rPr>
        <w:t xml:space="preserve">to set the bar for your board and to measure progress year over year to call out areas to focus on improving. Here are some general guidelines below on </w:t>
      </w:r>
      <w:r w:rsidR="005031B2">
        <w:rPr>
          <w:rFonts w:cstheme="minorHAnsi"/>
          <w:sz w:val="24"/>
          <w:szCs w:val="24"/>
        </w:rPr>
        <w:t>how composite scores might ind</w:t>
      </w:r>
      <w:r>
        <w:rPr>
          <w:rFonts w:cstheme="minorHAnsi"/>
          <w:sz w:val="24"/>
          <w:szCs w:val="24"/>
        </w:rPr>
        <w:t>icate overall board performance;</w:t>
      </w:r>
      <w:r w:rsidR="005031B2">
        <w:rPr>
          <w:rFonts w:cstheme="minorHAnsi"/>
          <w:sz w:val="24"/>
          <w:szCs w:val="24"/>
        </w:rPr>
        <w:t xml:space="preserve"> however, the focus should be on setting goals and improving as a group. </w:t>
      </w:r>
    </w:p>
    <w:p w:rsidR="005031B2" w:rsidRDefault="005031B2" w:rsidP="005031B2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82015E" w:rsidRPr="00E84762" w:rsidRDefault="0082015E" w:rsidP="005031B2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E84762">
        <w:rPr>
          <w:rFonts w:asciiTheme="majorHAnsi" w:hAnsiTheme="majorHAnsi" w:cstheme="majorHAnsi"/>
          <w:b/>
          <w:sz w:val="24"/>
          <w:szCs w:val="24"/>
        </w:rPr>
        <w:t>Main</w:t>
      </w:r>
      <w:r w:rsidR="005031B2">
        <w:rPr>
          <w:rFonts w:asciiTheme="majorHAnsi" w:hAnsiTheme="majorHAnsi" w:cstheme="majorHAnsi"/>
          <w:b/>
          <w:sz w:val="24"/>
          <w:szCs w:val="24"/>
        </w:rPr>
        <w:t xml:space="preserve"> Performance</w:t>
      </w:r>
      <w:r w:rsidRPr="00E84762">
        <w:rPr>
          <w:rFonts w:asciiTheme="majorHAnsi" w:hAnsiTheme="majorHAnsi" w:cstheme="majorHAnsi"/>
          <w:b/>
          <w:sz w:val="24"/>
          <w:szCs w:val="24"/>
        </w:rPr>
        <w:t xml:space="preserve"> Section</w:t>
      </w:r>
      <w:r w:rsidR="005031B2">
        <w:rPr>
          <w:rFonts w:asciiTheme="majorHAnsi" w:hAnsiTheme="majorHAnsi" w:cstheme="majorHAnsi"/>
          <w:b/>
          <w:sz w:val="24"/>
          <w:szCs w:val="24"/>
        </w:rPr>
        <w:t>:</w:t>
      </w:r>
    </w:p>
    <w:p w:rsidR="0082015E" w:rsidRPr="005031B2" w:rsidRDefault="0082015E" w:rsidP="005031B2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5031B2">
        <w:rPr>
          <w:rFonts w:cstheme="minorHAnsi"/>
          <w:sz w:val="24"/>
          <w:szCs w:val="24"/>
        </w:rPr>
        <w:t>50-65</w:t>
      </w:r>
      <w:r w:rsidR="00E84762" w:rsidRPr="005031B2">
        <w:rPr>
          <w:rFonts w:cstheme="minorHAnsi"/>
          <w:sz w:val="24"/>
          <w:szCs w:val="24"/>
        </w:rPr>
        <w:t>- High functioning, mature board</w:t>
      </w:r>
      <w:r w:rsidR="005031B2" w:rsidRPr="005031B2">
        <w:rPr>
          <w:rFonts w:cstheme="minorHAnsi"/>
          <w:sz w:val="24"/>
          <w:szCs w:val="24"/>
        </w:rPr>
        <w:t>, focus on growth</w:t>
      </w:r>
    </w:p>
    <w:p w:rsidR="0082015E" w:rsidRPr="005031B2" w:rsidRDefault="00E84762" w:rsidP="005031B2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5031B2">
        <w:rPr>
          <w:rFonts w:cstheme="minorHAnsi"/>
          <w:sz w:val="24"/>
          <w:szCs w:val="24"/>
        </w:rPr>
        <w:t xml:space="preserve">30-49- </w:t>
      </w:r>
      <w:r w:rsidR="005031B2" w:rsidRPr="005031B2">
        <w:rPr>
          <w:rFonts w:cstheme="minorHAnsi"/>
          <w:sz w:val="24"/>
          <w:szCs w:val="24"/>
        </w:rPr>
        <w:t>Good solid performing board, on the way to great</w:t>
      </w:r>
    </w:p>
    <w:p w:rsidR="0082015E" w:rsidRPr="005031B2" w:rsidRDefault="0082015E" w:rsidP="005031B2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5031B2">
        <w:rPr>
          <w:rFonts w:cstheme="minorHAnsi"/>
          <w:sz w:val="24"/>
          <w:szCs w:val="24"/>
        </w:rPr>
        <w:t>0-</w:t>
      </w:r>
      <w:r w:rsidR="00E84762" w:rsidRPr="005031B2">
        <w:rPr>
          <w:rFonts w:cstheme="minorHAnsi"/>
          <w:sz w:val="24"/>
          <w:szCs w:val="24"/>
        </w:rPr>
        <w:t xml:space="preserve">29- </w:t>
      </w:r>
      <w:r w:rsidR="005031B2" w:rsidRPr="005031B2">
        <w:rPr>
          <w:rFonts w:cstheme="minorHAnsi"/>
          <w:sz w:val="24"/>
          <w:szCs w:val="24"/>
        </w:rPr>
        <w:t>Focus on b</w:t>
      </w:r>
      <w:r w:rsidR="00E84762" w:rsidRPr="005031B2">
        <w:rPr>
          <w:rFonts w:cstheme="minorHAnsi"/>
          <w:sz w:val="24"/>
          <w:szCs w:val="24"/>
        </w:rPr>
        <w:t>oard basics</w:t>
      </w:r>
      <w:r w:rsidR="005031B2" w:rsidRPr="005031B2">
        <w:rPr>
          <w:rFonts w:cstheme="minorHAnsi"/>
          <w:sz w:val="24"/>
          <w:szCs w:val="24"/>
        </w:rPr>
        <w:t xml:space="preserve"> or</w:t>
      </w:r>
      <w:r w:rsidR="00E84762" w:rsidRPr="005031B2">
        <w:rPr>
          <w:rFonts w:cstheme="minorHAnsi"/>
          <w:sz w:val="24"/>
          <w:szCs w:val="24"/>
        </w:rPr>
        <w:t xml:space="preserve"> rebuilding</w:t>
      </w:r>
    </w:p>
    <w:p w:rsidR="005031B2" w:rsidRPr="00E84762" w:rsidRDefault="005031B2" w:rsidP="005031B2">
      <w:pPr>
        <w:pStyle w:val="ListParagraph"/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82015E" w:rsidRPr="00E84762" w:rsidRDefault="0082015E" w:rsidP="005031B2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E84762">
        <w:rPr>
          <w:rFonts w:asciiTheme="majorHAnsi" w:hAnsiTheme="majorHAnsi" w:cstheme="majorHAnsi"/>
          <w:b/>
          <w:sz w:val="24"/>
          <w:szCs w:val="24"/>
        </w:rPr>
        <w:t>Complete Standards, including Appendix:</w:t>
      </w:r>
    </w:p>
    <w:p w:rsidR="0082015E" w:rsidRPr="005031B2" w:rsidRDefault="00E84762" w:rsidP="005031B2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5031B2">
        <w:rPr>
          <w:rFonts w:cstheme="minorHAnsi"/>
          <w:sz w:val="24"/>
          <w:szCs w:val="24"/>
        </w:rPr>
        <w:t>12</w:t>
      </w:r>
      <w:r w:rsidR="0082015E" w:rsidRPr="005031B2">
        <w:rPr>
          <w:rFonts w:cstheme="minorHAnsi"/>
          <w:sz w:val="24"/>
          <w:szCs w:val="24"/>
        </w:rPr>
        <w:t>0-160</w:t>
      </w:r>
      <w:r w:rsidRPr="005031B2">
        <w:rPr>
          <w:rFonts w:cstheme="minorHAnsi"/>
          <w:sz w:val="24"/>
          <w:szCs w:val="24"/>
        </w:rPr>
        <w:t>- High functioning, mature board</w:t>
      </w:r>
      <w:r w:rsidR="005031B2" w:rsidRPr="005031B2">
        <w:rPr>
          <w:rFonts w:cstheme="minorHAnsi"/>
          <w:sz w:val="24"/>
          <w:szCs w:val="24"/>
        </w:rPr>
        <w:t>, focus on growth</w:t>
      </w:r>
    </w:p>
    <w:p w:rsidR="0082015E" w:rsidRPr="005031B2" w:rsidRDefault="00E84762" w:rsidP="005031B2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5031B2">
        <w:rPr>
          <w:rFonts w:cstheme="minorHAnsi"/>
          <w:sz w:val="24"/>
          <w:szCs w:val="24"/>
        </w:rPr>
        <w:t>80-119</w:t>
      </w:r>
      <w:r w:rsidR="005031B2" w:rsidRPr="005031B2">
        <w:rPr>
          <w:rFonts w:cstheme="minorHAnsi"/>
          <w:sz w:val="24"/>
          <w:szCs w:val="24"/>
        </w:rPr>
        <w:t>- Good solid performing board, on the way to great</w:t>
      </w:r>
    </w:p>
    <w:p w:rsidR="005031B2" w:rsidRPr="005031B2" w:rsidRDefault="00E84762" w:rsidP="005031B2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5031B2">
        <w:rPr>
          <w:rFonts w:cstheme="minorHAnsi"/>
          <w:sz w:val="24"/>
          <w:szCs w:val="24"/>
        </w:rPr>
        <w:t>0-79</w:t>
      </w:r>
      <w:r w:rsidR="005031B2" w:rsidRPr="005031B2">
        <w:rPr>
          <w:rFonts w:cstheme="minorHAnsi"/>
          <w:sz w:val="24"/>
          <w:szCs w:val="24"/>
        </w:rPr>
        <w:t>- Focus on board basics or rebuilding</w:t>
      </w:r>
    </w:p>
    <w:p w:rsidR="0082015E" w:rsidRDefault="0082015E" w:rsidP="00320F8D">
      <w:pPr>
        <w:spacing w:after="0"/>
        <w:rPr>
          <w:rFonts w:ascii="Arial Black" w:hAnsi="Arial Black"/>
          <w:b/>
          <w:sz w:val="24"/>
          <w:szCs w:val="24"/>
        </w:rPr>
      </w:pPr>
    </w:p>
    <w:p w:rsidR="005031B2" w:rsidRDefault="005031B2" w:rsidP="00320F8D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Next Steps:</w:t>
      </w:r>
    </w:p>
    <w:p w:rsidR="005031B2" w:rsidRDefault="005031B2" w:rsidP="00320F8D">
      <w:pPr>
        <w:spacing w:after="0"/>
        <w:rPr>
          <w:rFonts w:cstheme="minorHAnsi"/>
          <w:sz w:val="24"/>
          <w:szCs w:val="24"/>
        </w:rPr>
      </w:pPr>
      <w:r w:rsidRPr="005031B2">
        <w:rPr>
          <w:rFonts w:cstheme="minorHAnsi"/>
          <w:sz w:val="24"/>
          <w:szCs w:val="24"/>
        </w:rPr>
        <w:t xml:space="preserve">Review the </w:t>
      </w:r>
      <w:r>
        <w:rPr>
          <w:rFonts w:cstheme="minorHAnsi"/>
          <w:sz w:val="24"/>
          <w:szCs w:val="24"/>
        </w:rPr>
        <w:t xml:space="preserve">areas where you collectively received the lowest scores. Choose 3-5 areas to focus on for the year. Set goals on how to improve. Check in on those areas during each board meeting and assign accountable parties to make progress. </w:t>
      </w:r>
    </w:p>
    <w:p w:rsidR="005031B2" w:rsidRDefault="005031B2" w:rsidP="00320F8D">
      <w:pPr>
        <w:spacing w:after="0"/>
        <w:rPr>
          <w:rFonts w:cstheme="minorHAnsi"/>
          <w:sz w:val="24"/>
          <w:szCs w:val="24"/>
        </w:rPr>
      </w:pPr>
    </w:p>
    <w:p w:rsidR="005031B2" w:rsidRDefault="005031B2" w:rsidP="00320F8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Conduct this same assessment next year to track progress. Work with </w:t>
      </w:r>
      <w:r w:rsidR="0036145E">
        <w:rPr>
          <w:rFonts w:cstheme="minorHAnsi"/>
          <w:sz w:val="24"/>
          <w:szCs w:val="24"/>
        </w:rPr>
        <w:t>your staff partners, National Volunteer Leadership C</w:t>
      </w:r>
      <w:r w:rsidR="00551196">
        <w:rPr>
          <w:rFonts w:cstheme="minorHAnsi"/>
          <w:sz w:val="24"/>
          <w:szCs w:val="24"/>
        </w:rPr>
        <w:t>ouncil consultants and other volunteer leaders to improve your scores. Thank you!</w:t>
      </w:r>
      <w:r>
        <w:rPr>
          <w:rFonts w:cstheme="minorHAnsi"/>
          <w:sz w:val="24"/>
          <w:szCs w:val="24"/>
        </w:rPr>
        <w:t xml:space="preserve"> </w:t>
      </w:r>
    </w:p>
    <w:p w:rsidR="005031B2" w:rsidRPr="005031B2" w:rsidRDefault="005031B2" w:rsidP="00320F8D">
      <w:pPr>
        <w:spacing w:after="0"/>
        <w:rPr>
          <w:rFonts w:cstheme="minorHAnsi"/>
          <w:sz w:val="24"/>
          <w:szCs w:val="24"/>
        </w:rPr>
      </w:pPr>
    </w:p>
    <w:p w:rsidR="005031B2" w:rsidRDefault="005031B2" w:rsidP="00320F8D">
      <w:pPr>
        <w:spacing w:after="0"/>
        <w:rPr>
          <w:rFonts w:ascii="Arial Black" w:hAnsi="Arial Black"/>
          <w:b/>
          <w:sz w:val="24"/>
          <w:szCs w:val="24"/>
        </w:rPr>
      </w:pPr>
    </w:p>
    <w:p w:rsidR="00CB4605" w:rsidRDefault="00CB4605" w:rsidP="00320F8D">
      <w:pPr>
        <w:spacing w:after="0"/>
        <w:rPr>
          <w:rFonts w:ascii="Graphik Compact Black" w:hAnsi="Graphik Compact Black"/>
          <w:b/>
          <w:color w:val="FF0000"/>
          <w:sz w:val="28"/>
          <w:szCs w:val="40"/>
        </w:rPr>
      </w:pPr>
      <w:r w:rsidRPr="00CB4605">
        <w:rPr>
          <w:rFonts w:ascii="Arial Black" w:hAnsi="Arial Black"/>
          <w:b/>
          <w:sz w:val="24"/>
          <w:szCs w:val="24"/>
        </w:rPr>
        <w:t>See appendix for Standing Committee Standards Assessment Tools</w:t>
      </w:r>
    </w:p>
    <w:p w:rsidR="00CB4605" w:rsidRDefault="00CB4605" w:rsidP="00320F8D">
      <w:pPr>
        <w:spacing w:after="0"/>
        <w:rPr>
          <w:rFonts w:ascii="Graphik Compact Black" w:hAnsi="Graphik Compact Black"/>
          <w:b/>
          <w:color w:val="FF0000"/>
          <w:sz w:val="28"/>
          <w:szCs w:val="40"/>
        </w:rPr>
      </w:pPr>
    </w:p>
    <w:p w:rsidR="00CB4605" w:rsidRDefault="00CB4605" w:rsidP="00320F8D">
      <w:pPr>
        <w:spacing w:after="0"/>
        <w:rPr>
          <w:rFonts w:ascii="Graphik Compact Black" w:hAnsi="Graphik Compact Black"/>
          <w:b/>
          <w:color w:val="FF0000"/>
          <w:sz w:val="28"/>
          <w:szCs w:val="40"/>
        </w:rPr>
      </w:pPr>
    </w:p>
    <w:p w:rsidR="00CB4605" w:rsidRDefault="00CB4605" w:rsidP="00320F8D">
      <w:pPr>
        <w:spacing w:after="0"/>
        <w:rPr>
          <w:rFonts w:ascii="Graphik Compact Black" w:hAnsi="Graphik Compact Black"/>
          <w:b/>
          <w:color w:val="FF0000"/>
          <w:sz w:val="28"/>
          <w:szCs w:val="40"/>
        </w:rPr>
      </w:pPr>
    </w:p>
    <w:p w:rsidR="00D4632C" w:rsidRPr="00E064D8" w:rsidRDefault="00B74161" w:rsidP="00320F8D">
      <w:pPr>
        <w:spacing w:after="0"/>
        <w:rPr>
          <w:rFonts w:ascii="Graphik Compact Black" w:hAnsi="Graphik Compact Black"/>
          <w:b/>
          <w:sz w:val="28"/>
          <w:szCs w:val="40"/>
        </w:rPr>
      </w:pPr>
      <w:r w:rsidRPr="00E064D8">
        <w:rPr>
          <w:rFonts w:ascii="Graphik Compact Black" w:hAnsi="Graphik Compact Black"/>
          <w:b/>
          <w:sz w:val="28"/>
          <w:szCs w:val="40"/>
        </w:rPr>
        <w:lastRenderedPageBreak/>
        <w:t>APPENDIX- DIST</w:t>
      </w:r>
      <w:r w:rsidR="00E064D8" w:rsidRPr="00E064D8">
        <w:rPr>
          <w:rFonts w:ascii="Graphik Compact Black" w:hAnsi="Graphik Compact Black"/>
          <w:b/>
          <w:sz w:val="28"/>
          <w:szCs w:val="40"/>
        </w:rPr>
        <w:t>RIBUTED</w:t>
      </w:r>
      <w:r w:rsidRPr="00E064D8">
        <w:rPr>
          <w:rFonts w:ascii="Graphik Compact Black" w:hAnsi="Graphik Compact Black"/>
          <w:b/>
          <w:sz w:val="28"/>
          <w:szCs w:val="40"/>
        </w:rPr>
        <w:t xml:space="preserve"> FOR INDIV</w:t>
      </w:r>
      <w:r w:rsidR="00E064D8" w:rsidRPr="00E064D8">
        <w:rPr>
          <w:rFonts w:ascii="Graphik Compact Black" w:hAnsi="Graphik Compact Black"/>
          <w:b/>
          <w:sz w:val="28"/>
          <w:szCs w:val="40"/>
        </w:rPr>
        <w:t>IDUAL</w:t>
      </w:r>
      <w:r w:rsidRPr="00E064D8">
        <w:rPr>
          <w:rFonts w:ascii="Graphik Compact Black" w:hAnsi="Graphik Compact Black"/>
          <w:b/>
          <w:sz w:val="28"/>
          <w:szCs w:val="40"/>
        </w:rPr>
        <w:t xml:space="preserve"> COMM</w:t>
      </w:r>
      <w:r w:rsidR="00E064D8" w:rsidRPr="00E064D8">
        <w:rPr>
          <w:rFonts w:ascii="Graphik Compact Black" w:hAnsi="Graphik Compact Black"/>
          <w:b/>
          <w:sz w:val="28"/>
          <w:szCs w:val="40"/>
        </w:rPr>
        <w:t>ITTEE</w:t>
      </w:r>
      <w:r w:rsidRPr="00E064D8">
        <w:rPr>
          <w:rFonts w:ascii="Graphik Compact Black" w:hAnsi="Graphik Compact Black"/>
          <w:b/>
          <w:sz w:val="28"/>
          <w:szCs w:val="40"/>
        </w:rPr>
        <w:t xml:space="preserve"> USE</w:t>
      </w:r>
    </w:p>
    <w:tbl>
      <w:tblPr>
        <w:tblStyle w:val="TableGrid"/>
        <w:tblW w:w="10695" w:type="dxa"/>
        <w:tblLayout w:type="fixed"/>
        <w:tblLook w:val="04A0" w:firstRow="1" w:lastRow="0" w:firstColumn="1" w:lastColumn="0" w:noHBand="0" w:noVBand="1"/>
      </w:tblPr>
      <w:tblGrid>
        <w:gridCol w:w="9345"/>
        <w:gridCol w:w="1350"/>
      </w:tblGrid>
      <w:tr w:rsidR="00FD1AEC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29EC"/>
          </w:tcPr>
          <w:p w:rsidR="00FD1AEC" w:rsidRPr="00F51B8B" w:rsidRDefault="00FD1AEC" w:rsidP="00FD1AEC">
            <w:pPr>
              <w:jc w:val="center"/>
              <w:rPr>
                <w:rFonts w:ascii="Graphik Compact Black" w:hAnsi="Graphik Compact Black"/>
                <w:b/>
                <w:sz w:val="40"/>
                <w:szCs w:val="40"/>
              </w:rPr>
            </w:pPr>
            <w:r w:rsidRPr="00E97FE9">
              <w:rPr>
                <w:rFonts w:ascii="Graphik Compact Black" w:hAnsi="Graphik Compact Black"/>
                <w:b/>
                <w:sz w:val="40"/>
                <w:szCs w:val="40"/>
              </w:rPr>
              <w:t>GROWTH</w:t>
            </w:r>
            <w:r w:rsidR="003B38DD" w:rsidRPr="00E97FE9">
              <w:rPr>
                <w:rFonts w:ascii="Graphik Compact Black" w:hAnsi="Graphik Compact Black"/>
                <w:b/>
                <w:sz w:val="40"/>
                <w:szCs w:val="40"/>
              </w:rPr>
              <w:t xml:space="preserve"> COMMITTEE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7029EC"/>
          </w:tcPr>
          <w:p w:rsidR="00FD1AEC" w:rsidRPr="004834BC" w:rsidRDefault="00EF444B" w:rsidP="00FD1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Score 1-5</w:t>
            </w:r>
          </w:p>
        </w:tc>
      </w:tr>
      <w:tr w:rsidR="00FD1AEC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179FF"/>
          </w:tcPr>
          <w:p w:rsidR="00FD1AEC" w:rsidRPr="00E97FE9" w:rsidRDefault="00C85135" w:rsidP="00E97FE9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97FE9">
              <w:rPr>
                <w:b/>
                <w:sz w:val="24"/>
                <w:szCs w:val="24"/>
              </w:rPr>
              <w:t>EVENT FUNDRAISING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179FF"/>
          </w:tcPr>
          <w:p w:rsidR="00FD1AEC" w:rsidRPr="007A1957" w:rsidRDefault="00FD1AEC" w:rsidP="00FD1AEC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D38" w:rsidRPr="00DA4935" w:rsidRDefault="006F1DD9" w:rsidP="008C7948">
            <w:pPr>
              <w:pStyle w:val="ListParagraph"/>
              <w:numPr>
                <w:ilvl w:val="0"/>
                <w:numId w:val="6"/>
              </w:numPr>
            </w:pPr>
            <w:r>
              <w:t xml:space="preserve">Growth Committee members closely monitor </w:t>
            </w:r>
            <w:r w:rsidR="008C7948">
              <w:t xml:space="preserve">market financials and </w:t>
            </w:r>
            <w:r>
              <w:t>fundraising progress</w:t>
            </w:r>
            <w:r w:rsidR="008C7948">
              <w:t xml:space="preserve"> in order to create a revenue plan </w:t>
            </w:r>
            <w:r>
              <w:t xml:space="preserve">and identify opportunities for growing revenue via events, corporate support and community impact. 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0D38" w:rsidRPr="00DA4935" w:rsidRDefault="00C60D38" w:rsidP="008C7948">
            <w:pPr>
              <w:pStyle w:val="ListParagraph"/>
              <w:numPr>
                <w:ilvl w:val="0"/>
                <w:numId w:val="6"/>
              </w:numPr>
            </w:pPr>
            <w:r w:rsidRPr="00DA4935">
              <w:t xml:space="preserve">Lead financial </w:t>
            </w:r>
            <w:r w:rsidR="008C7948">
              <w:t xml:space="preserve">analysis </w:t>
            </w:r>
            <w:r w:rsidRPr="00DA4935">
              <w:t>by benchmarking projections again budget/goals in order to develop an action plan for area</w:t>
            </w:r>
            <w:r w:rsidR="008C7948">
              <w:t>s</w:t>
            </w:r>
            <w:r w:rsidRPr="00DA4935">
              <w:t xml:space="preserve"> projecting below budget</w:t>
            </w:r>
            <w:r w:rsidR="008C7948">
              <w:t>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D38" w:rsidRPr="00DA4935" w:rsidRDefault="008C7948" w:rsidP="00E97FE9">
            <w:pPr>
              <w:pStyle w:val="ListParagraph"/>
              <w:numPr>
                <w:ilvl w:val="0"/>
                <w:numId w:val="6"/>
              </w:numPr>
            </w:pPr>
            <w:r>
              <w:t>Multi</w:t>
            </w:r>
            <w:r w:rsidR="00C60D38" w:rsidRPr="00DA4935">
              <w:t>-year Market performance, including diversification of revenue and benchmarking against select like-size markets</w:t>
            </w:r>
            <w:r>
              <w:t>, is reviewed bi-annually and d</w:t>
            </w:r>
            <w:r w:rsidRPr="00DA4935">
              <w:t>efined goals for revenue streams are reflected in the Market Board Strategic Plan for a three-year period</w:t>
            </w:r>
            <w:r>
              <w:t>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179FF"/>
          </w:tcPr>
          <w:p w:rsidR="00C60D38" w:rsidRPr="00E97FE9" w:rsidRDefault="00C60D38" w:rsidP="00E97FE9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97FE9">
              <w:rPr>
                <w:b/>
                <w:sz w:val="24"/>
                <w:szCs w:val="24"/>
              </w:rPr>
              <w:t>INDIVIDUAL AND MAJOR GIVING AND DONOR STEWARDSHIP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179FF"/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0D38" w:rsidRPr="00CB0807" w:rsidRDefault="00CB0807" w:rsidP="00CB080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CB0807">
              <w:rPr>
                <w:rFonts w:cstheme="minorHAnsi"/>
              </w:rPr>
              <w:t xml:space="preserve">Market Board members hold relationships with individual and major donors and work to recruit, retain, and steward top prospects.  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179FF"/>
          </w:tcPr>
          <w:p w:rsidR="00C60D38" w:rsidRPr="00E97FE9" w:rsidRDefault="00C60D38" w:rsidP="00E97FE9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97FE9">
              <w:rPr>
                <w:b/>
                <w:sz w:val="24"/>
                <w:szCs w:val="24"/>
              </w:rPr>
              <w:t>CORPORATE PARTNERSHIPS AND NEW BUSINESS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179FF"/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D38" w:rsidRPr="00CB0807" w:rsidRDefault="00F222C5" w:rsidP="00CB080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0807">
              <w:rPr>
                <w:rFonts w:cstheme="minorHAnsi"/>
              </w:rPr>
              <w:t>Recrui</w:t>
            </w:r>
            <w:r w:rsidR="008C7948" w:rsidRPr="00CB0807">
              <w:rPr>
                <w:rFonts w:cstheme="minorHAnsi"/>
              </w:rPr>
              <w:t>t</w:t>
            </w:r>
            <w:r w:rsidRPr="00CB0807">
              <w:rPr>
                <w:rFonts w:cstheme="minorHAnsi"/>
              </w:rPr>
              <w:t xml:space="preserve"> new business partners and leverag</w:t>
            </w:r>
            <w:r w:rsidR="008C7948" w:rsidRPr="00CB0807">
              <w:rPr>
                <w:rFonts w:cstheme="minorHAnsi"/>
              </w:rPr>
              <w:t>e</w:t>
            </w:r>
            <w:r w:rsidRPr="00CB0807">
              <w:rPr>
                <w:rFonts w:cstheme="minorHAnsi"/>
              </w:rPr>
              <w:t xml:space="preserve"> personal and corporate relationships i</w:t>
            </w:r>
            <w:r w:rsidR="008C7948" w:rsidRPr="00CB0807">
              <w:rPr>
                <w:rFonts w:cstheme="minorHAnsi"/>
              </w:rPr>
              <w:t xml:space="preserve">n order to diversify revenue and build in Mission Investment Opportunities (such as NICU Family Support, Supportive Pregnancy Care, etc.) in addition to events. 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0BCFF"/>
          </w:tcPr>
          <w:p w:rsidR="00C60D38" w:rsidRPr="001E402E" w:rsidRDefault="00A007BD" w:rsidP="00C60D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Score Growth Committee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0BCFF"/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</w:tbl>
    <w:p w:rsidR="004D5DDD" w:rsidRDefault="004D5DDD"/>
    <w:tbl>
      <w:tblPr>
        <w:tblStyle w:val="TableGrid"/>
        <w:tblW w:w="10695" w:type="dxa"/>
        <w:tblLayout w:type="fixed"/>
        <w:tblLook w:val="04A0" w:firstRow="1" w:lastRow="0" w:firstColumn="1" w:lastColumn="0" w:noHBand="0" w:noVBand="1"/>
      </w:tblPr>
      <w:tblGrid>
        <w:gridCol w:w="9345"/>
        <w:gridCol w:w="1350"/>
      </w:tblGrid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29EC"/>
          </w:tcPr>
          <w:p w:rsidR="00C60D38" w:rsidRPr="00F51B8B" w:rsidRDefault="00C60D38" w:rsidP="00C60D38">
            <w:pPr>
              <w:jc w:val="center"/>
              <w:rPr>
                <w:rFonts w:ascii="Graphik Compact Black" w:hAnsi="Graphik Compact Black"/>
                <w:b/>
                <w:sz w:val="40"/>
                <w:szCs w:val="40"/>
              </w:rPr>
            </w:pPr>
            <w:r>
              <w:rPr>
                <w:rFonts w:ascii="Graphik Compact Black" w:hAnsi="Graphik Compact Black"/>
                <w:b/>
                <w:sz w:val="40"/>
                <w:szCs w:val="40"/>
              </w:rPr>
              <w:t>MISSION IMPACT</w:t>
            </w:r>
            <w:r w:rsidR="003B38DD">
              <w:rPr>
                <w:rFonts w:ascii="Graphik Compact Black" w:hAnsi="Graphik Compact Black"/>
                <w:b/>
                <w:sz w:val="40"/>
                <w:szCs w:val="40"/>
              </w:rPr>
              <w:t xml:space="preserve"> COMMITTEE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7029EC"/>
          </w:tcPr>
          <w:p w:rsidR="00C60D38" w:rsidRPr="007A1957" w:rsidRDefault="00EF444B" w:rsidP="00C60D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 1-5</w:t>
            </w: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179FF"/>
          </w:tcPr>
          <w:p w:rsidR="00C60D38" w:rsidRPr="00E97FE9" w:rsidRDefault="00C60D38" w:rsidP="00E97FE9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E97FE9">
              <w:rPr>
                <w:b/>
                <w:sz w:val="24"/>
                <w:szCs w:val="24"/>
              </w:rPr>
              <w:t>MATERNAL AND INFANT HEALTH DATA GATHERING AND ANALYSIS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A7FE8"/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60D38" w:rsidRPr="00DA4935" w:rsidRDefault="00C60D38" w:rsidP="008C7948">
            <w:pPr>
              <w:pStyle w:val="ListParagraph"/>
              <w:numPr>
                <w:ilvl w:val="0"/>
                <w:numId w:val="10"/>
              </w:numPr>
            </w:pPr>
            <w:r>
              <w:t xml:space="preserve">Members </w:t>
            </w:r>
            <w:r w:rsidR="008C7948">
              <w:t xml:space="preserve">collaborate with community partners to </w:t>
            </w:r>
            <w:r>
              <w:t>examine community-level data points, resources and information</w:t>
            </w:r>
            <w:r w:rsidR="008C7948">
              <w:t xml:space="preserve"> to identify and implement solutions that move the needle on mom and baby health</w:t>
            </w:r>
            <w:r>
              <w:t xml:space="preserve">. 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179FF"/>
          </w:tcPr>
          <w:p w:rsidR="00C60D38" w:rsidRPr="00E97FE9" w:rsidRDefault="00C60D38" w:rsidP="00E97FE9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E97FE9">
              <w:rPr>
                <w:b/>
                <w:sz w:val="24"/>
                <w:szCs w:val="24"/>
              </w:rPr>
              <w:t>COMMUNITY COLLABORATION, SYSTEMS CHANGE AND COLLECTIVE IMPACT STRATEGY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A7FE8"/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D38" w:rsidRPr="00DA4935" w:rsidRDefault="00C60D38" w:rsidP="00CB0807">
            <w:pPr>
              <w:pStyle w:val="ListParagraph"/>
              <w:numPr>
                <w:ilvl w:val="0"/>
                <w:numId w:val="10"/>
              </w:numPr>
            </w:pPr>
            <w:r>
              <w:t>Members work collectively in their markets and states to a</w:t>
            </w:r>
            <w:r w:rsidR="008C7948">
              <w:t>lign around a shared action plan</w:t>
            </w:r>
            <w:r>
              <w:t xml:space="preserve"> to improve equity in the following areas: preterm birth, infant death, maternal health risk and maternal death.</w:t>
            </w:r>
            <w:r w:rsidR="004D5DDD">
              <w:t xml:space="preserve"> Committee works on short-term and long-term goals around community-wide systems changes that impact progress toward the desired result.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D38" w:rsidRPr="00DA4935" w:rsidRDefault="00C60D38" w:rsidP="00CB0807">
            <w:pPr>
              <w:pStyle w:val="ListParagraph"/>
              <w:numPr>
                <w:ilvl w:val="0"/>
                <w:numId w:val="10"/>
              </w:numPr>
            </w:pPr>
            <w:r>
              <w:t xml:space="preserve">Mission Impact Committee members represent diverse </w:t>
            </w:r>
            <w:r w:rsidR="004D5DDD">
              <w:t>opinions and sectors, including business, health professions, youth as well as community and advocacy organizations. They work within various sub-communities</w:t>
            </w:r>
            <w:r>
              <w:t xml:space="preserve"> to identify programs, services, interventions and policies that will drive action. 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179FF"/>
          </w:tcPr>
          <w:p w:rsidR="00C60D38" w:rsidRPr="00E97FE9" w:rsidRDefault="00C60D38" w:rsidP="00E97FE9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E97FE9">
              <w:rPr>
                <w:b/>
                <w:sz w:val="24"/>
                <w:szCs w:val="24"/>
              </w:rPr>
              <w:t>ADVOCACY AND GOVERNMENT AFFAIRS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A7FE8"/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0D38" w:rsidRPr="006E3893" w:rsidRDefault="004D5DDD" w:rsidP="00CB0807">
            <w:pPr>
              <w:pStyle w:val="ListParagraph"/>
              <w:numPr>
                <w:ilvl w:val="0"/>
                <w:numId w:val="10"/>
              </w:numPr>
            </w:pPr>
            <w:r>
              <w:t>Work</w:t>
            </w:r>
            <w:r w:rsidR="00C60D38">
              <w:t xml:space="preserve"> collaboratively with other market AGA Mo</w:t>
            </w:r>
            <w:r>
              <w:t>bilization leaders to achieve desired grassroots and grasstops advocacy/ movement agenda items within the state.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0D38" w:rsidRDefault="00C60D38" w:rsidP="00CB0807">
            <w:pPr>
              <w:pStyle w:val="ListParagraph"/>
              <w:numPr>
                <w:ilvl w:val="0"/>
                <w:numId w:val="10"/>
              </w:numPr>
            </w:pPr>
            <w:r>
              <w:t>All Market Board members register with the Advocacy Action Network and respond to action alerts as a requirement of board service.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0D38" w:rsidRDefault="00C60D38" w:rsidP="00CB0807">
            <w:pPr>
              <w:pStyle w:val="ListParagraph"/>
              <w:numPr>
                <w:ilvl w:val="0"/>
                <w:numId w:val="10"/>
              </w:numPr>
            </w:pPr>
            <w:r>
              <w:t xml:space="preserve">Market Board members and Mission Impact Committee members serve </w:t>
            </w:r>
            <w:r w:rsidR="004D5DDD">
              <w:t>as</w:t>
            </w:r>
            <w:r>
              <w:t xml:space="preserve"> connector, organizer, spokesperson or testifier and/or influencer. 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A007BD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0BCFF"/>
          </w:tcPr>
          <w:p w:rsidR="00A007BD" w:rsidRPr="00244588" w:rsidRDefault="00A007BD" w:rsidP="00A007BD">
            <w:pPr>
              <w:jc w:val="right"/>
              <w:rPr>
                <w:b/>
              </w:rPr>
            </w:pPr>
            <w:r w:rsidRPr="00244588">
              <w:rPr>
                <w:b/>
              </w:rPr>
              <w:t>Total Score Mission Impact Committee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0BCFF"/>
          </w:tcPr>
          <w:p w:rsidR="00A007BD" w:rsidRPr="007A1957" w:rsidRDefault="00A007BD" w:rsidP="00C60D38">
            <w:pPr>
              <w:rPr>
                <w:sz w:val="28"/>
                <w:szCs w:val="28"/>
              </w:rPr>
            </w:pPr>
          </w:p>
        </w:tc>
      </w:tr>
    </w:tbl>
    <w:p w:rsidR="004D5DDD" w:rsidRDefault="004D5DDD"/>
    <w:tbl>
      <w:tblPr>
        <w:tblStyle w:val="TableGrid"/>
        <w:tblW w:w="10695" w:type="dxa"/>
        <w:tblLayout w:type="fixed"/>
        <w:tblLook w:val="04A0" w:firstRow="1" w:lastRow="0" w:firstColumn="1" w:lastColumn="0" w:noHBand="0" w:noVBand="1"/>
      </w:tblPr>
      <w:tblGrid>
        <w:gridCol w:w="9345"/>
        <w:gridCol w:w="1350"/>
      </w:tblGrid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29EC"/>
          </w:tcPr>
          <w:p w:rsidR="00C60D38" w:rsidRPr="00C85135" w:rsidRDefault="00C60D38" w:rsidP="00C60D38">
            <w:pPr>
              <w:jc w:val="center"/>
              <w:rPr>
                <w:rFonts w:ascii="Graphik Compact Black" w:hAnsi="Graphik Compact Black" w:cstheme="minorHAnsi"/>
                <w:b/>
                <w:sz w:val="40"/>
                <w:szCs w:val="40"/>
              </w:rPr>
            </w:pPr>
            <w:r w:rsidRPr="00C85135">
              <w:rPr>
                <w:rFonts w:ascii="Graphik Compact Black" w:hAnsi="Graphik Compact Black" w:cstheme="minorHAnsi"/>
                <w:b/>
                <w:sz w:val="40"/>
                <w:szCs w:val="40"/>
              </w:rPr>
              <w:t>MOVEMENT</w:t>
            </w:r>
            <w:r w:rsidR="003B38DD">
              <w:rPr>
                <w:rFonts w:ascii="Graphik Compact Black" w:hAnsi="Graphik Compact Black" w:cstheme="minorHAnsi"/>
                <w:b/>
                <w:sz w:val="40"/>
                <w:szCs w:val="40"/>
              </w:rPr>
              <w:t xml:space="preserve"> COMMITTEE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29EC"/>
          </w:tcPr>
          <w:p w:rsidR="00C60D38" w:rsidRPr="007A1957" w:rsidRDefault="00EF444B" w:rsidP="00C60D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 1-5</w:t>
            </w: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A7FE8"/>
          </w:tcPr>
          <w:p w:rsidR="00C60D38" w:rsidRPr="00E97FE9" w:rsidRDefault="00C60D38" w:rsidP="00E97FE9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E97FE9">
              <w:rPr>
                <w:b/>
                <w:sz w:val="24"/>
                <w:szCs w:val="24"/>
              </w:rPr>
              <w:t>VOLUNTEER ENGAGEMENT</w:t>
            </w:r>
            <w:r w:rsidR="00053298">
              <w:rPr>
                <w:b/>
                <w:sz w:val="24"/>
                <w:szCs w:val="24"/>
              </w:rPr>
              <w:t xml:space="preserve"> &amp; MOBILIZATION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A7FE8"/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0D38" w:rsidRPr="00DA4935" w:rsidRDefault="005A03C5" w:rsidP="005A03C5">
            <w:pPr>
              <w:pStyle w:val="ListParagraph"/>
              <w:numPr>
                <w:ilvl w:val="0"/>
                <w:numId w:val="14"/>
              </w:numPr>
            </w:pPr>
            <w:r>
              <w:t>Create and support meaningful volunteer, advocacy and engagement opportunities, not only for fellow board members, but also for the community</w:t>
            </w:r>
            <w:r w:rsidR="00D4632C">
              <w:t xml:space="preserve">. Raise the relevancy and brand recognition of March of Dimes locally while offering ways for others to give back. 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05329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3298" w:rsidRDefault="005A03C5" w:rsidP="00053298">
            <w:pPr>
              <w:pStyle w:val="ListParagraph"/>
              <w:numPr>
                <w:ilvl w:val="0"/>
                <w:numId w:val="14"/>
              </w:numPr>
            </w:pPr>
            <w:r>
              <w:t>Ensure that board members, stakeholders and other community influencers understand, participate, speak out, and step up to take actions that fuels a movement that donors, advocates, and volunteers can all plug into and feel like they are not only a part of, but can help others to lead and own.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3298" w:rsidRPr="007A1957" w:rsidRDefault="0005329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0D38" w:rsidRPr="00DA4935" w:rsidRDefault="00053298" w:rsidP="00E97FE9">
            <w:pPr>
              <w:pStyle w:val="ListParagraph"/>
              <w:numPr>
                <w:ilvl w:val="0"/>
                <w:numId w:val="14"/>
              </w:numPr>
            </w:pPr>
            <w:r w:rsidRPr="00DA4935">
              <w:t>New members complete Individual Engagement Plan following Onboarding process</w:t>
            </w:r>
            <w:r>
              <w:t>, the collective roll up is shared with board leadership, and all</w:t>
            </w:r>
            <w:r w:rsidRPr="00DA4935">
              <w:t xml:space="preserve"> members r</w:t>
            </w:r>
            <w:r>
              <w:t>eceive feedback/guidance based o</w:t>
            </w:r>
            <w:r w:rsidRPr="00DA4935">
              <w:t>n engagement plan and actual participation</w:t>
            </w:r>
            <w:r>
              <w:t xml:space="preserve"> to hold them accountable</w:t>
            </w:r>
            <w:r w:rsidR="0036145E">
              <w:t>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A7FE8"/>
          </w:tcPr>
          <w:p w:rsidR="00C60D38" w:rsidRPr="00E97FE9" w:rsidRDefault="00053298" w:rsidP="00053298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MARKETING &amp; COMMUNICATIONS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A7FE8"/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0D38" w:rsidRPr="00F222C5" w:rsidRDefault="00053298" w:rsidP="00CB0807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Understand</w:t>
            </w:r>
            <w:r w:rsidR="0067688F">
              <w:t>ing of</w:t>
            </w:r>
            <w:r>
              <w:t xml:space="preserve"> and </w:t>
            </w:r>
            <w:r w:rsidR="00F222C5">
              <w:t>support for marketing campaigns such as #ItsNotFine, Unspoken Stories, It Starts with Mom, Blanket Change and many more.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0D38" w:rsidRPr="00E97FE9" w:rsidRDefault="00053298" w:rsidP="00CB080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053298">
              <w:t>Create</w:t>
            </w:r>
            <w:r w:rsidR="00C94096" w:rsidRPr="00E2454F">
              <w:t xml:space="preserve"> marketing and mobilization goals</w:t>
            </w:r>
            <w:r w:rsidR="00C94096">
              <w:t xml:space="preserve"> and strategies that effectively communicate </w:t>
            </w:r>
            <w:r>
              <w:t xml:space="preserve">March of Dimes mission, </w:t>
            </w:r>
            <w:r w:rsidR="00C94096">
              <w:t xml:space="preserve">vision and legacy. 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  <w:tr w:rsidR="00C60D3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A7FE8"/>
          </w:tcPr>
          <w:p w:rsidR="00C60D38" w:rsidRPr="00E97FE9" w:rsidRDefault="00C60D38" w:rsidP="00053298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E97FE9">
              <w:rPr>
                <w:b/>
                <w:sz w:val="24"/>
                <w:szCs w:val="24"/>
              </w:rPr>
              <w:t xml:space="preserve">NOMINATING </w:t>
            </w:r>
            <w:r w:rsidR="00053298">
              <w:rPr>
                <w:b/>
                <w:sz w:val="24"/>
                <w:szCs w:val="24"/>
              </w:rPr>
              <w:t>&amp;</w:t>
            </w:r>
            <w:r w:rsidRPr="00E97FE9">
              <w:rPr>
                <w:b/>
                <w:sz w:val="24"/>
                <w:szCs w:val="24"/>
              </w:rPr>
              <w:t xml:space="preserve"> RECRUITING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A7FE8"/>
          </w:tcPr>
          <w:p w:rsidR="00C60D38" w:rsidRPr="007A1957" w:rsidRDefault="00C60D38" w:rsidP="00C60D38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1"/>
        <w:tblW w:w="10695" w:type="dxa"/>
        <w:tblLayout w:type="fixed"/>
        <w:tblLook w:val="04A0" w:firstRow="1" w:lastRow="0" w:firstColumn="1" w:lastColumn="0" w:noHBand="0" w:noVBand="1"/>
      </w:tblPr>
      <w:tblGrid>
        <w:gridCol w:w="9345"/>
        <w:gridCol w:w="1350"/>
      </w:tblGrid>
      <w:tr w:rsidR="00AD6AA2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D6AA2" w:rsidRPr="00DA4935" w:rsidRDefault="00AD6AA2" w:rsidP="00CB0807">
            <w:pPr>
              <w:pStyle w:val="ListParagraph"/>
              <w:numPr>
                <w:ilvl w:val="0"/>
                <w:numId w:val="14"/>
              </w:numPr>
            </w:pPr>
            <w:r w:rsidRPr="00DA4935">
              <w:t>Timeline and clear process for recruitment are defined based on M</w:t>
            </w:r>
            <w:r w:rsidR="0036145E">
              <w:t>arket Needs Assessment and Volunteer Leadership</w:t>
            </w:r>
            <w:r w:rsidRPr="00DA4935">
              <w:t xml:space="preserve"> composition exercise</w:t>
            </w:r>
            <w:r w:rsidR="00053298">
              <w:t>, including</w:t>
            </w:r>
            <w:r w:rsidR="00053298" w:rsidRPr="00DA4935">
              <w:t xml:space="preserve"> identifying, cultivating and recruiting new Market Board Members, event leaders and Executive Leadership Team Members (ELT)</w:t>
            </w:r>
            <w:r w:rsidR="0036145E">
              <w:t>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D6AA2" w:rsidRPr="007A1957" w:rsidRDefault="00AD6AA2" w:rsidP="00843B4C">
            <w:pPr>
              <w:rPr>
                <w:sz w:val="28"/>
                <w:szCs w:val="28"/>
              </w:rPr>
            </w:pPr>
          </w:p>
        </w:tc>
      </w:tr>
      <w:tr w:rsidR="00AD6AA2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D6AA2" w:rsidRPr="00DA4935" w:rsidRDefault="00AD6AA2" w:rsidP="00CB0807">
            <w:pPr>
              <w:pStyle w:val="ListParagraph"/>
              <w:numPr>
                <w:ilvl w:val="0"/>
                <w:numId w:val="14"/>
              </w:numPr>
            </w:pPr>
            <w:r w:rsidRPr="00DA4935">
              <w:t xml:space="preserve">All new leaders, including Market Board Members, participate in March of Dimes Onboarding </w:t>
            </w:r>
            <w:r w:rsidR="00ED1725" w:rsidRPr="00DA4935">
              <w:t>program, which</w:t>
            </w:r>
            <w:r w:rsidRPr="00DA4935">
              <w:t xml:space="preserve"> includes a 30- 60-90-day check in</w:t>
            </w:r>
            <w:r w:rsidR="00053298">
              <w:t>, and all i</w:t>
            </w:r>
            <w:r w:rsidR="00053298" w:rsidRPr="00DA4935">
              <w:t xml:space="preserve">nactive </w:t>
            </w:r>
            <w:r w:rsidR="0036145E">
              <w:t xml:space="preserve">Market </w:t>
            </w:r>
            <w:r w:rsidR="00053298" w:rsidRPr="00DA4935">
              <w:t xml:space="preserve">Board Members are </w:t>
            </w:r>
            <w:r w:rsidR="0036145E">
              <w:t>constructively managed off the b</w:t>
            </w:r>
            <w:r w:rsidR="00053298" w:rsidRPr="00DA4935">
              <w:t>oard on an annual basis</w:t>
            </w:r>
            <w:r w:rsidR="0036145E">
              <w:t>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D6AA2" w:rsidRPr="007A1957" w:rsidRDefault="00AD6AA2" w:rsidP="00843B4C">
            <w:pPr>
              <w:rPr>
                <w:sz w:val="28"/>
                <w:szCs w:val="28"/>
              </w:rPr>
            </w:pPr>
          </w:p>
        </w:tc>
      </w:tr>
      <w:tr w:rsidR="00AD6AA2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AA2" w:rsidRPr="00DA4935" w:rsidRDefault="00AD6AA2" w:rsidP="00CB0807">
            <w:pPr>
              <w:pStyle w:val="ListParagraph"/>
              <w:numPr>
                <w:ilvl w:val="0"/>
                <w:numId w:val="14"/>
              </w:numPr>
            </w:pPr>
            <w:r w:rsidRPr="00DA4935">
              <w:t>A plan to improve diversity in gender, race, ethnicity, industry, age and geography is incorporated into Market Board Strategic Plan and monitored throughout the recruitment process</w:t>
            </w:r>
            <w:r w:rsidR="0036145E">
              <w:t>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AA2" w:rsidRPr="007A1957" w:rsidRDefault="00AD6AA2" w:rsidP="00843B4C">
            <w:pPr>
              <w:rPr>
                <w:sz w:val="28"/>
                <w:szCs w:val="28"/>
              </w:rPr>
            </w:pPr>
          </w:p>
        </w:tc>
      </w:tr>
      <w:tr w:rsidR="00244588" w:rsidRPr="007A1957" w:rsidTr="00EC5A87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0BCFF"/>
          </w:tcPr>
          <w:p w:rsidR="00244588" w:rsidRPr="00244588" w:rsidRDefault="00244588" w:rsidP="00244588">
            <w:pPr>
              <w:pStyle w:val="ListParagraph"/>
              <w:jc w:val="right"/>
              <w:rPr>
                <w:b/>
              </w:rPr>
            </w:pPr>
            <w:r w:rsidRPr="00244588">
              <w:rPr>
                <w:b/>
              </w:rPr>
              <w:t>Total Score Movement Committee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0BCFF"/>
          </w:tcPr>
          <w:p w:rsidR="00244588" w:rsidRPr="007A1957" w:rsidRDefault="00244588" w:rsidP="00843B4C">
            <w:pPr>
              <w:rPr>
                <w:sz w:val="28"/>
                <w:szCs w:val="28"/>
              </w:rPr>
            </w:pPr>
          </w:p>
        </w:tc>
      </w:tr>
    </w:tbl>
    <w:p w:rsidR="004D5DDD" w:rsidRDefault="004D5DDD"/>
    <w:tbl>
      <w:tblPr>
        <w:tblStyle w:val="TableGrid"/>
        <w:tblW w:w="10695" w:type="dxa"/>
        <w:tblLayout w:type="fixed"/>
        <w:tblLook w:val="04A0" w:firstRow="1" w:lastRow="0" w:firstColumn="1" w:lastColumn="0" w:noHBand="0" w:noVBand="1"/>
      </w:tblPr>
      <w:tblGrid>
        <w:gridCol w:w="9345"/>
        <w:gridCol w:w="1350"/>
      </w:tblGrid>
      <w:tr w:rsidR="00D4632C" w:rsidRPr="007A1957" w:rsidTr="002B2002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52BA"/>
          </w:tcPr>
          <w:p w:rsidR="00D4632C" w:rsidRDefault="00D4632C" w:rsidP="002B2002">
            <w:pPr>
              <w:jc w:val="right"/>
              <w:rPr>
                <w:b/>
                <w:sz w:val="24"/>
                <w:szCs w:val="24"/>
              </w:rPr>
            </w:pPr>
          </w:p>
          <w:p w:rsidR="00D4632C" w:rsidRDefault="00D4632C" w:rsidP="002B2002">
            <w:pPr>
              <w:jc w:val="right"/>
              <w:rPr>
                <w:b/>
                <w:sz w:val="24"/>
                <w:szCs w:val="24"/>
              </w:rPr>
            </w:pPr>
          </w:p>
          <w:p w:rsidR="00D4632C" w:rsidRPr="00244588" w:rsidRDefault="00D4632C" w:rsidP="002B2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FINAL/ TOTAL MARKET SCORE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52BA"/>
          </w:tcPr>
          <w:p w:rsidR="00D4632C" w:rsidRPr="007A1957" w:rsidRDefault="00D4632C" w:rsidP="002B2002">
            <w:pPr>
              <w:rPr>
                <w:sz w:val="28"/>
                <w:szCs w:val="28"/>
              </w:rPr>
            </w:pPr>
          </w:p>
        </w:tc>
      </w:tr>
    </w:tbl>
    <w:p w:rsidR="00D4632C" w:rsidRDefault="00D4632C"/>
    <w:sectPr w:rsidR="00D4632C" w:rsidSect="00EC5A8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6D" w:rsidRDefault="003B786D" w:rsidP="00972341">
      <w:pPr>
        <w:spacing w:after="0" w:line="240" w:lineRule="auto"/>
      </w:pPr>
      <w:r>
        <w:separator/>
      </w:r>
    </w:p>
  </w:endnote>
  <w:endnote w:type="continuationSeparator" w:id="0">
    <w:p w:rsidR="003B786D" w:rsidRDefault="003B786D" w:rsidP="0097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Compact Black">
    <w:panose1 w:val="01000201010000010001"/>
    <w:charset w:val="00"/>
    <w:family w:val="modern"/>
    <w:notTrueType/>
    <w:pitch w:val="variable"/>
    <w:sig w:usb0="A000002F" w:usb1="4000045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3069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DDD" w:rsidRDefault="004D5D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DDD" w:rsidRPr="005A03C5" w:rsidRDefault="00203883" w:rsidP="005A03C5">
    <w:pPr>
      <w:rPr>
        <w:i/>
      </w:rPr>
    </w:pPr>
    <w:r>
      <w:rPr>
        <w:i/>
      </w:rPr>
      <w:t>Updated September 15</w:t>
    </w:r>
    <w:r w:rsidR="00115DA0">
      <w:rPr>
        <w:i/>
      </w:rPr>
      <w:t>,</w:t>
    </w:r>
    <w:r w:rsidR="008A0D9F">
      <w:rPr>
        <w:i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6D" w:rsidRDefault="003B786D" w:rsidP="00972341">
      <w:pPr>
        <w:spacing w:after="0" w:line="240" w:lineRule="auto"/>
      </w:pPr>
      <w:r>
        <w:separator/>
      </w:r>
    </w:p>
  </w:footnote>
  <w:footnote w:type="continuationSeparator" w:id="0">
    <w:p w:rsidR="003B786D" w:rsidRDefault="003B786D" w:rsidP="0097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A29"/>
    <w:multiLevelType w:val="hybridMultilevel"/>
    <w:tmpl w:val="B17C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15AF"/>
    <w:multiLevelType w:val="hybridMultilevel"/>
    <w:tmpl w:val="3902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143AC"/>
    <w:multiLevelType w:val="hybridMultilevel"/>
    <w:tmpl w:val="05828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35CA"/>
    <w:multiLevelType w:val="hybridMultilevel"/>
    <w:tmpl w:val="9A50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1F"/>
    <w:multiLevelType w:val="hybridMultilevel"/>
    <w:tmpl w:val="2DB60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1BC7"/>
    <w:multiLevelType w:val="hybridMultilevel"/>
    <w:tmpl w:val="22CC4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C22F9"/>
    <w:multiLevelType w:val="hybridMultilevel"/>
    <w:tmpl w:val="195A0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5715"/>
    <w:multiLevelType w:val="hybridMultilevel"/>
    <w:tmpl w:val="D490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72F7"/>
    <w:multiLevelType w:val="hybridMultilevel"/>
    <w:tmpl w:val="4374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52F72"/>
    <w:multiLevelType w:val="hybridMultilevel"/>
    <w:tmpl w:val="3D1A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E5948"/>
    <w:multiLevelType w:val="hybridMultilevel"/>
    <w:tmpl w:val="F596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C3592"/>
    <w:multiLevelType w:val="hybridMultilevel"/>
    <w:tmpl w:val="67220908"/>
    <w:lvl w:ilvl="0" w:tplc="752A4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4409C"/>
    <w:multiLevelType w:val="hybridMultilevel"/>
    <w:tmpl w:val="2FC28CEA"/>
    <w:lvl w:ilvl="0" w:tplc="983E0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16F47"/>
    <w:multiLevelType w:val="hybridMultilevel"/>
    <w:tmpl w:val="82B24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355F84"/>
    <w:multiLevelType w:val="hybridMultilevel"/>
    <w:tmpl w:val="35BE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02782"/>
    <w:multiLevelType w:val="hybridMultilevel"/>
    <w:tmpl w:val="DA66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36F4A"/>
    <w:multiLevelType w:val="hybridMultilevel"/>
    <w:tmpl w:val="9754F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80D5E"/>
    <w:multiLevelType w:val="hybridMultilevel"/>
    <w:tmpl w:val="1C68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3603F"/>
    <w:multiLevelType w:val="hybridMultilevel"/>
    <w:tmpl w:val="EF2A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A3612"/>
    <w:multiLevelType w:val="hybridMultilevel"/>
    <w:tmpl w:val="05828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C6C40"/>
    <w:multiLevelType w:val="hybridMultilevel"/>
    <w:tmpl w:val="77626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DD487C"/>
    <w:multiLevelType w:val="hybridMultilevel"/>
    <w:tmpl w:val="CDCA7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C5E62"/>
    <w:multiLevelType w:val="hybridMultilevel"/>
    <w:tmpl w:val="38CEB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8780D"/>
    <w:multiLevelType w:val="hybridMultilevel"/>
    <w:tmpl w:val="CF76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C1987"/>
    <w:multiLevelType w:val="hybridMultilevel"/>
    <w:tmpl w:val="CA82789A"/>
    <w:lvl w:ilvl="0" w:tplc="9D228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065DB"/>
    <w:multiLevelType w:val="hybridMultilevel"/>
    <w:tmpl w:val="BB22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18"/>
  </w:num>
  <w:num w:numId="7">
    <w:abstractNumId w:val="24"/>
  </w:num>
  <w:num w:numId="8">
    <w:abstractNumId w:val="5"/>
  </w:num>
  <w:num w:numId="9">
    <w:abstractNumId w:val="16"/>
  </w:num>
  <w:num w:numId="10">
    <w:abstractNumId w:val="6"/>
  </w:num>
  <w:num w:numId="11">
    <w:abstractNumId w:val="7"/>
  </w:num>
  <w:num w:numId="12">
    <w:abstractNumId w:val="10"/>
  </w:num>
  <w:num w:numId="13">
    <w:abstractNumId w:val="21"/>
  </w:num>
  <w:num w:numId="14">
    <w:abstractNumId w:val="25"/>
  </w:num>
  <w:num w:numId="15">
    <w:abstractNumId w:val="9"/>
  </w:num>
  <w:num w:numId="16">
    <w:abstractNumId w:val="3"/>
  </w:num>
  <w:num w:numId="17">
    <w:abstractNumId w:val="22"/>
  </w:num>
  <w:num w:numId="18">
    <w:abstractNumId w:val="0"/>
  </w:num>
  <w:num w:numId="19">
    <w:abstractNumId w:val="15"/>
  </w:num>
  <w:num w:numId="20">
    <w:abstractNumId w:val="8"/>
  </w:num>
  <w:num w:numId="21">
    <w:abstractNumId w:val="13"/>
  </w:num>
  <w:num w:numId="22">
    <w:abstractNumId w:val="17"/>
  </w:num>
  <w:num w:numId="23">
    <w:abstractNumId w:val="19"/>
  </w:num>
  <w:num w:numId="24">
    <w:abstractNumId w:val="2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DC"/>
    <w:rsid w:val="0000324F"/>
    <w:rsid w:val="00053298"/>
    <w:rsid w:val="000874CC"/>
    <w:rsid w:val="000902B8"/>
    <w:rsid w:val="000B6185"/>
    <w:rsid w:val="000C4E2F"/>
    <w:rsid w:val="000D2EE2"/>
    <w:rsid w:val="001034A7"/>
    <w:rsid w:val="00104926"/>
    <w:rsid w:val="00107CF0"/>
    <w:rsid w:val="00111E15"/>
    <w:rsid w:val="00115DA0"/>
    <w:rsid w:val="001756F4"/>
    <w:rsid w:val="001A39A5"/>
    <w:rsid w:val="001B3EC7"/>
    <w:rsid w:val="001D3B1D"/>
    <w:rsid w:val="001D6C6F"/>
    <w:rsid w:val="001E402E"/>
    <w:rsid w:val="00203883"/>
    <w:rsid w:val="00210900"/>
    <w:rsid w:val="0022344A"/>
    <w:rsid w:val="00244588"/>
    <w:rsid w:val="002A5415"/>
    <w:rsid w:val="002C4FCD"/>
    <w:rsid w:val="002D1C83"/>
    <w:rsid w:val="002E6D32"/>
    <w:rsid w:val="002F162C"/>
    <w:rsid w:val="00320F8D"/>
    <w:rsid w:val="00324CD0"/>
    <w:rsid w:val="00347A20"/>
    <w:rsid w:val="003544DA"/>
    <w:rsid w:val="0036145E"/>
    <w:rsid w:val="003B38DD"/>
    <w:rsid w:val="003B786D"/>
    <w:rsid w:val="003C2FEB"/>
    <w:rsid w:val="003D0EB2"/>
    <w:rsid w:val="0040320F"/>
    <w:rsid w:val="00403330"/>
    <w:rsid w:val="00420796"/>
    <w:rsid w:val="0042208E"/>
    <w:rsid w:val="004834BC"/>
    <w:rsid w:val="004C2E4A"/>
    <w:rsid w:val="004D5DDD"/>
    <w:rsid w:val="004E754E"/>
    <w:rsid w:val="005031B2"/>
    <w:rsid w:val="00551196"/>
    <w:rsid w:val="00562360"/>
    <w:rsid w:val="005A03C5"/>
    <w:rsid w:val="005A787F"/>
    <w:rsid w:val="005C5930"/>
    <w:rsid w:val="005D1CD8"/>
    <w:rsid w:val="005E22A1"/>
    <w:rsid w:val="005F3FF0"/>
    <w:rsid w:val="00612443"/>
    <w:rsid w:val="00641C43"/>
    <w:rsid w:val="00670418"/>
    <w:rsid w:val="0067688F"/>
    <w:rsid w:val="006A0FB3"/>
    <w:rsid w:val="006B0D43"/>
    <w:rsid w:val="006B2529"/>
    <w:rsid w:val="006E3893"/>
    <w:rsid w:val="006F1DD9"/>
    <w:rsid w:val="006F4FCB"/>
    <w:rsid w:val="00701F09"/>
    <w:rsid w:val="00706065"/>
    <w:rsid w:val="00721869"/>
    <w:rsid w:val="00753B31"/>
    <w:rsid w:val="0078031A"/>
    <w:rsid w:val="007A1957"/>
    <w:rsid w:val="007E2AA5"/>
    <w:rsid w:val="00812417"/>
    <w:rsid w:val="0082015E"/>
    <w:rsid w:val="00843663"/>
    <w:rsid w:val="00847F53"/>
    <w:rsid w:val="008A0D9F"/>
    <w:rsid w:val="008B2B18"/>
    <w:rsid w:val="008C7948"/>
    <w:rsid w:val="00907232"/>
    <w:rsid w:val="0091072F"/>
    <w:rsid w:val="00972341"/>
    <w:rsid w:val="00A007BD"/>
    <w:rsid w:val="00A00C57"/>
    <w:rsid w:val="00A42BE7"/>
    <w:rsid w:val="00AA28F9"/>
    <w:rsid w:val="00AB2E21"/>
    <w:rsid w:val="00AD6AA2"/>
    <w:rsid w:val="00B04B82"/>
    <w:rsid w:val="00B4632A"/>
    <w:rsid w:val="00B54697"/>
    <w:rsid w:val="00B60ACF"/>
    <w:rsid w:val="00B74161"/>
    <w:rsid w:val="00BE09C5"/>
    <w:rsid w:val="00BF427E"/>
    <w:rsid w:val="00C00ADC"/>
    <w:rsid w:val="00C41AB0"/>
    <w:rsid w:val="00C60D38"/>
    <w:rsid w:val="00C85135"/>
    <w:rsid w:val="00C923B9"/>
    <w:rsid w:val="00C94096"/>
    <w:rsid w:val="00CB0807"/>
    <w:rsid w:val="00CB11EA"/>
    <w:rsid w:val="00CB4605"/>
    <w:rsid w:val="00CB5BF0"/>
    <w:rsid w:val="00CE3B63"/>
    <w:rsid w:val="00CF1872"/>
    <w:rsid w:val="00D0490C"/>
    <w:rsid w:val="00D373D6"/>
    <w:rsid w:val="00D4632C"/>
    <w:rsid w:val="00D72774"/>
    <w:rsid w:val="00DA4935"/>
    <w:rsid w:val="00DB2840"/>
    <w:rsid w:val="00DE3C9A"/>
    <w:rsid w:val="00E00044"/>
    <w:rsid w:val="00E064D8"/>
    <w:rsid w:val="00E1415D"/>
    <w:rsid w:val="00E56E55"/>
    <w:rsid w:val="00E84762"/>
    <w:rsid w:val="00E90E58"/>
    <w:rsid w:val="00E944F0"/>
    <w:rsid w:val="00E97FE9"/>
    <w:rsid w:val="00EB588B"/>
    <w:rsid w:val="00EC5A87"/>
    <w:rsid w:val="00ED1725"/>
    <w:rsid w:val="00EF444B"/>
    <w:rsid w:val="00F222C5"/>
    <w:rsid w:val="00F31689"/>
    <w:rsid w:val="00F4014B"/>
    <w:rsid w:val="00F51B8B"/>
    <w:rsid w:val="00FC75B6"/>
    <w:rsid w:val="00FD1AEC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2108AC8-11C9-4EB2-B571-8224F0CE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341"/>
  </w:style>
  <w:style w:type="paragraph" w:styleId="Footer">
    <w:name w:val="footer"/>
    <w:basedOn w:val="Normal"/>
    <w:link w:val="FooterChar"/>
    <w:uiPriority w:val="99"/>
    <w:unhideWhenUsed/>
    <w:rsid w:val="0097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341"/>
  </w:style>
  <w:style w:type="paragraph" w:styleId="ListParagraph">
    <w:name w:val="List Paragraph"/>
    <w:basedOn w:val="Normal"/>
    <w:uiPriority w:val="34"/>
    <w:qFormat/>
    <w:rsid w:val="00FF75E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D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5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A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5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DD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41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olunteer.marchofdim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BA56-6E51-412D-A103-72E5A581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Amy</dc:creator>
  <cp:keywords/>
  <dc:description/>
  <cp:lastModifiedBy>Fell, Carole</cp:lastModifiedBy>
  <cp:revision>2</cp:revision>
  <cp:lastPrinted>2020-06-01T16:26:00Z</cp:lastPrinted>
  <dcterms:created xsi:type="dcterms:W3CDTF">2022-08-02T21:17:00Z</dcterms:created>
  <dcterms:modified xsi:type="dcterms:W3CDTF">2022-08-02T21:17:00Z</dcterms:modified>
</cp:coreProperties>
</file>